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9D0" w:rsidRDefault="00F719D0">
      <w:pPr>
        <w:pStyle w:val="aa"/>
        <w:jc w:val="right"/>
      </w:pPr>
    </w:p>
    <w:p w:rsidR="00F719D0" w:rsidRDefault="00F719D0">
      <w:pPr>
        <w:pStyle w:val="aa"/>
        <w:jc w:val="right"/>
      </w:pPr>
    </w:p>
    <w:p w:rsidR="00F719D0" w:rsidRDefault="00F35A71">
      <w:pPr>
        <w:pStyle w:val="aa"/>
        <w:jc w:val="right"/>
      </w:pPr>
      <w:r>
        <w:t>УТВЕРЖДЕН</w:t>
      </w:r>
    </w:p>
    <w:p w:rsidR="00F719D0" w:rsidRDefault="00F35A71">
      <w:pPr>
        <w:pStyle w:val="aa"/>
        <w:jc w:val="right"/>
      </w:pPr>
      <w:r>
        <w:t>решением Коллегии Счетной палаты</w:t>
      </w:r>
    </w:p>
    <w:p w:rsidR="00F719D0" w:rsidRDefault="00F35A71">
      <w:pPr>
        <w:pStyle w:val="aa"/>
        <w:jc w:val="right"/>
      </w:pPr>
      <w:r>
        <w:t>Чукотского автономного округа</w:t>
      </w:r>
    </w:p>
    <w:p w:rsidR="00F719D0" w:rsidRDefault="00F35A71">
      <w:pPr>
        <w:pStyle w:val="aa"/>
        <w:jc w:val="right"/>
      </w:pPr>
      <w:r>
        <w:t xml:space="preserve">  (протокол от 26 декабря 2025 года №31)</w:t>
      </w:r>
    </w:p>
    <w:p w:rsidR="00F719D0" w:rsidRDefault="00F719D0">
      <w:pPr>
        <w:jc w:val="center"/>
        <w:rPr>
          <w:b/>
          <w:sz w:val="32"/>
          <w:szCs w:val="32"/>
        </w:rPr>
      </w:pPr>
    </w:p>
    <w:p w:rsidR="00F719D0" w:rsidRDefault="00F35A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Л А Н</w:t>
      </w:r>
    </w:p>
    <w:p w:rsidR="00F719D0" w:rsidRDefault="00F35A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работы Счетной палаты Чукотского автономного округа на 2026 год</w:t>
      </w:r>
    </w:p>
    <w:p w:rsidR="00F719D0" w:rsidRDefault="00F35A71">
      <w:pPr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(в редакции от 13.02.2026 протокол №</w:t>
      </w:r>
      <w:r w:rsidR="0026432C">
        <w:rPr>
          <w:bCs/>
          <w:color w:val="000000" w:themeColor="text1"/>
          <w:sz w:val="22"/>
          <w:szCs w:val="22"/>
        </w:rPr>
        <w:t> </w:t>
      </w:r>
      <w:r>
        <w:rPr>
          <w:bCs/>
          <w:color w:val="000000" w:themeColor="text1"/>
          <w:sz w:val="22"/>
          <w:szCs w:val="22"/>
        </w:rPr>
        <w:t>2, от 27.03.2026 протокол №</w:t>
      </w:r>
      <w:r w:rsidR="0026432C">
        <w:rPr>
          <w:bCs/>
          <w:color w:val="000000" w:themeColor="text1"/>
          <w:sz w:val="22"/>
          <w:szCs w:val="22"/>
        </w:rPr>
        <w:t> </w:t>
      </w:r>
      <w:r>
        <w:rPr>
          <w:bCs/>
          <w:color w:val="000000" w:themeColor="text1"/>
          <w:sz w:val="22"/>
          <w:szCs w:val="22"/>
        </w:rPr>
        <w:t>4</w:t>
      </w:r>
      <w:r w:rsidR="00B872FE">
        <w:rPr>
          <w:bCs/>
          <w:color w:val="000000" w:themeColor="text1"/>
          <w:sz w:val="22"/>
          <w:szCs w:val="22"/>
        </w:rPr>
        <w:t xml:space="preserve">, </w:t>
      </w:r>
      <w:r w:rsidR="0026432C">
        <w:rPr>
          <w:bCs/>
          <w:color w:val="000000" w:themeColor="text1"/>
          <w:sz w:val="22"/>
          <w:szCs w:val="22"/>
        </w:rPr>
        <w:t>от 28.04.2026 № 6</w:t>
      </w:r>
      <w:r>
        <w:rPr>
          <w:bCs/>
          <w:color w:val="000000" w:themeColor="text1"/>
          <w:sz w:val="22"/>
          <w:szCs w:val="22"/>
        </w:rPr>
        <w:t>)</w:t>
      </w:r>
    </w:p>
    <w:p w:rsidR="00F719D0" w:rsidRDefault="00F719D0">
      <w:pPr>
        <w:jc w:val="center"/>
        <w:rPr>
          <w:b/>
          <w:bCs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0632"/>
        <w:gridCol w:w="1984"/>
        <w:gridCol w:w="1984"/>
      </w:tblGrid>
      <w:tr w:rsidR="00F719D0">
        <w:trPr>
          <w:trHeight w:val="667"/>
          <w:tblHeader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F719D0" w:rsidRDefault="00F35A71">
            <w:pPr>
              <w:spacing w:line="216" w:lineRule="auto"/>
              <w:jc w:val="center"/>
            </w:pPr>
            <w:r>
              <w:rPr>
                <w:bCs/>
              </w:rPr>
              <w:t>п/п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1"/>
              <w:spacing w:line="21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Наименование </w:t>
            </w:r>
            <w:r>
              <w:rPr>
                <w:b w:val="0"/>
              </w:rPr>
              <w:br/>
              <w:t>мероприятия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"/>
              <w:spacing w:line="216" w:lineRule="auto"/>
              <w:jc w:val="center"/>
              <w:rPr>
                <w:b w:val="0"/>
              </w:rPr>
            </w:pPr>
            <w:r>
              <w:rPr>
                <w:b w:val="0"/>
              </w:rPr>
              <w:t>Ответственные</w:t>
            </w:r>
          </w:p>
          <w:p w:rsidR="00F719D0" w:rsidRDefault="00F35A71">
            <w:pPr>
              <w:pStyle w:val="1"/>
              <w:spacing w:line="216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за проведение мероприятия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"/>
              <w:spacing w:line="216" w:lineRule="auto"/>
              <w:jc w:val="center"/>
              <w:rPr>
                <w:b w:val="0"/>
              </w:rPr>
            </w:pPr>
            <w:r>
              <w:rPr>
                <w:b w:val="0"/>
              </w:rPr>
              <w:t>Срок</w:t>
            </w:r>
          </w:p>
          <w:p w:rsidR="00F719D0" w:rsidRDefault="00F35A71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проведения</w:t>
            </w:r>
          </w:p>
        </w:tc>
      </w:tr>
      <w:tr w:rsidR="00F719D0">
        <w:trPr>
          <w:trHeight w:val="179"/>
          <w:tblHeader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1"/>
              <w:spacing w:line="216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"/>
              <w:spacing w:line="216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"/>
              <w:spacing w:line="216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F719D0">
        <w:trPr>
          <w:trHeight w:val="44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0" w:rsidRDefault="00F35A71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1. Контрольная деятельность</w:t>
            </w:r>
          </w:p>
        </w:tc>
      </w:tr>
      <w:tr w:rsidR="00F719D0">
        <w:trPr>
          <w:trHeight w:val="537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0632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both"/>
              <w:rPr>
                <w:bCs/>
              </w:rPr>
            </w:pPr>
            <w:r>
              <w:rPr>
                <w:bCs/>
              </w:rPr>
              <w:t>Внешняя проверка бюджетной отчетности главных администраторов средств окружного бюджета за 2025 год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I-II кварталы</w:t>
            </w:r>
          </w:p>
        </w:tc>
      </w:tr>
      <w:tr w:rsidR="00F719D0">
        <w:trPr>
          <w:trHeight w:val="1104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использования межбюджетного трансферта, предоставленного из окружного бюджета на проведение ремонтных работ в муниципальных учреждениях физической культуры и спорта в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рамках реализации Государственной программы «Развитие физической культуры и спорта Чукотского автономного округа» в 2025 году 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 квартал </w:t>
            </w:r>
            <w:r>
              <w:rPr>
                <w:sz w:val="22"/>
                <w:szCs w:val="22"/>
              </w:rPr>
              <w:br/>
              <w:t xml:space="preserve">2025 года – I квартал </w:t>
            </w:r>
            <w:r>
              <w:rPr>
                <w:sz w:val="22"/>
                <w:szCs w:val="22"/>
              </w:rPr>
              <w:br/>
              <w:t>2026 года</w:t>
            </w:r>
          </w:p>
        </w:tc>
      </w:tr>
      <w:tr w:rsidR="00F719D0">
        <w:trPr>
          <w:trHeight w:val="868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10632" w:type="dxa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использования средств окружного бюджета, направ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ленных на реализацию комплекса процессных мероприятий «Создание комфортных условий проживания для всех категорий граждан» в 2025 году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Тодавчич О.М.</w:t>
            </w:r>
          </w:p>
        </w:tc>
        <w:tc>
          <w:tcPr>
            <w:tcW w:w="1984" w:type="dxa"/>
            <w:vAlign w:val="center"/>
          </w:tcPr>
          <w:p w:rsidR="00413AE1" w:rsidRDefault="00413AE1" w:rsidP="00413AE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I-II кварталы</w:t>
            </w:r>
          </w:p>
          <w:p w:rsidR="00413AE1" w:rsidRDefault="00413AE1" w:rsidP="00413A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(в редакции </w:t>
            </w:r>
          </w:p>
          <w:p w:rsidR="00413AE1" w:rsidRDefault="00413AE1" w:rsidP="00413A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от 2</w:t>
            </w:r>
            <w:r w:rsidR="00F35A7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.0</w:t>
            </w:r>
            <w:r w:rsidR="00F35A7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.2026 протокол №</w:t>
            </w:r>
            <w:r w:rsidR="00F35A7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 6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)</w:t>
            </w:r>
          </w:p>
          <w:p w:rsidR="00F719D0" w:rsidRDefault="00F719D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719D0">
        <w:trPr>
          <w:trHeight w:val="1359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spacing w:line="216" w:lineRule="auto"/>
              <w:jc w:val="both"/>
              <w:rPr>
                <w:bCs/>
              </w:rPr>
            </w:pPr>
            <w:r>
              <w:t xml:space="preserve">Проверка использования средств окружного бюджета, предоставленных </w:t>
            </w:r>
            <w:r>
              <w:rPr>
                <w:bCs/>
              </w:rPr>
              <w:t>Государственном</w:t>
            </w:r>
            <w:r>
              <w:rPr>
                <w:bCs/>
              </w:rPr>
              <w:t>у автономному учреждению Чукотского автономного округа «Издательство «Крайний Север» на финансовое обеспечение выполнения государственного задания, в рамках реализации Государственной программы «Информационное общество Чукотского автономного округа» в 2025</w:t>
            </w:r>
            <w:r>
              <w:rPr>
                <w:bCs/>
              </w:rPr>
              <w:t> году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квартал</w:t>
            </w:r>
          </w:p>
        </w:tc>
      </w:tr>
      <w:tr w:rsidR="00F719D0">
        <w:trPr>
          <w:trHeight w:val="810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использования бюджетных средств, направленных на реализацию комплекса процессных мероприятий «Поддержка, сохранение и развитие родных языков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Государственной программы «Развитие образования и науки Чукотского автономного округа» в 2025 году </w:t>
            </w:r>
          </w:p>
          <w:p w:rsidR="00F719D0" w:rsidRDefault="00F719D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Шадрина Л.П.</w:t>
            </w:r>
          </w:p>
        </w:tc>
        <w:tc>
          <w:tcPr>
            <w:tcW w:w="1984" w:type="dxa"/>
            <w:vAlign w:val="center"/>
          </w:tcPr>
          <w:p w:rsidR="00F719D0" w:rsidRDefault="00F719D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I-II кварталы</w:t>
            </w:r>
          </w:p>
          <w:p w:rsidR="00F719D0" w:rsidRDefault="00F35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(в редакции </w:t>
            </w:r>
          </w:p>
          <w:p w:rsidR="00F719D0" w:rsidRDefault="00F35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от 27.03.2026 протокол № 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4)</w:t>
            </w:r>
          </w:p>
          <w:p w:rsidR="00F719D0" w:rsidRDefault="00F719D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719D0">
        <w:trPr>
          <w:trHeight w:val="60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1.6.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бюджетных средств, направленных на реализацию комплекса процессных мероприятий «Реконструкция, капитальный ремонт автомобильных дорог общего пользования регионального значения и сооружений на них» Государственной программы «Развитие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транспортной инфраструктуры Чукотского автономного округа» в 2024-2025 годах </w:t>
            </w:r>
          </w:p>
          <w:p w:rsidR="00F719D0" w:rsidRDefault="00F719D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  <w:sz w:val="6"/>
                <w:szCs w:val="6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Тодавчич О.М.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II квартал</w:t>
            </w:r>
          </w:p>
        </w:tc>
      </w:tr>
      <w:tr w:rsidR="00F719D0">
        <w:trPr>
          <w:trHeight w:val="1112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1.7.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использования средств окружного бюджета, направленных на реализацию мероприятия «О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казание поддержки на развитие индивидуального жилищного строительства» в рамках реализации Государственной программы «Развитие жилищного строительства в Чукотском автономном округе» в 2024-2025 годах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Тодавчич О.М.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II-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кварталы</w:t>
            </w:r>
          </w:p>
        </w:tc>
      </w:tr>
      <w:tr w:rsidR="00F719D0">
        <w:trPr>
          <w:trHeight w:val="814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1.8.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использован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ия межбюджетных трансфертов, предоставленных из окружного бюджета бюджету Билибинского муниципального района в 2025 году  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Cs/>
              </w:rPr>
              <w:t>Бондаренко И.В.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-I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кварталы</w:t>
            </w:r>
          </w:p>
        </w:tc>
      </w:tr>
      <w:tr w:rsidR="00F719D0">
        <w:trPr>
          <w:trHeight w:val="1208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1.9.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использования бюджетных средств, направленных на строительство объекта «Спортивный зал в с. Лаврентия» в рамках Государственной программы «Развитие физической культуры и спорта Чукотского автономного округа» в 2024-2025 годах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Шадрина Л.П.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III-IV к</w:t>
            </w:r>
            <w:r>
              <w:rPr>
                <w:sz w:val="22"/>
                <w:szCs w:val="22"/>
              </w:rPr>
              <w:t>варталы</w:t>
            </w:r>
          </w:p>
        </w:tc>
      </w:tr>
      <w:tr w:rsidR="00F719D0">
        <w:trPr>
          <w:trHeight w:val="768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1.10.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бюджетных средств, направленных на реализацию регионального проекта «Модернизация коммунальной инфраструктуры» за 2025 год 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Тодавчич О.М.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IV квартал</w:t>
            </w:r>
          </w:p>
        </w:tc>
      </w:tr>
      <w:tr w:rsidR="00F719D0">
        <w:trPr>
          <w:trHeight w:val="6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1.11.</w:t>
            </w:r>
          </w:p>
        </w:tc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средств окружного бюджета,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предоставленных Некоммерческой организации «Фонд развития экономики и прямых инвестиций Чукотского автономного округа» в 2026 году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Cs/>
              </w:rPr>
              <w:t>Бондаренко И.В.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IV квартал </w:t>
            </w:r>
            <w:r>
              <w:rPr>
                <w:sz w:val="22"/>
                <w:szCs w:val="22"/>
              </w:rPr>
              <w:br/>
              <w:t xml:space="preserve">2026 года – I квартал </w:t>
            </w:r>
            <w:r>
              <w:rPr>
                <w:sz w:val="22"/>
                <w:szCs w:val="22"/>
              </w:rPr>
              <w:br/>
              <w:t>2027 года</w:t>
            </w:r>
          </w:p>
        </w:tc>
      </w:tr>
      <w:tr w:rsidR="00F719D0">
        <w:trPr>
          <w:trHeight w:val="6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1.12.</w:t>
            </w:r>
          </w:p>
        </w:tc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реализации мероприятий по развитию жилищного строительства в селе Сиреники в рамках Государственной программы «Развитие жилищного строительства в Чукотском автономном округе» в 2025 году и истекшем периоде 2026 года</w:t>
            </w:r>
          </w:p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(дополнен 13.02.2026 протокол №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Тодавчич О.М.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35A71" w:rsidRDefault="00F35A71" w:rsidP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I-II кварталы</w:t>
            </w:r>
          </w:p>
          <w:p w:rsidR="00F35A71" w:rsidRDefault="00F35A71" w:rsidP="00F35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(в редакции </w:t>
            </w:r>
          </w:p>
          <w:p w:rsidR="00F35A71" w:rsidRDefault="00F35A71" w:rsidP="00F35A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от 28.04.2026 протокол № 6)</w:t>
            </w:r>
          </w:p>
          <w:p w:rsidR="00F719D0" w:rsidRDefault="00F719D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719D0">
        <w:trPr>
          <w:trHeight w:val="45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2. Экспертно-аналитическая деятельность</w:t>
            </w:r>
          </w:p>
        </w:tc>
      </w:tr>
      <w:tr w:rsidR="00F719D0">
        <w:trPr>
          <w:trHeight w:val="451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0632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проверка годового отчета об исполнении окружного бюджета за 2025 год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Бондаренко И.В.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кварталы</w:t>
            </w:r>
          </w:p>
        </w:tc>
      </w:tr>
      <w:tr w:rsidR="00F719D0">
        <w:trPr>
          <w:trHeight w:val="579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проверка годового отчета об исполнении бюджета Чукотского территориального фонда обязательного медицинского страхования за 2025 год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Шадрина Л.П.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кварталы</w:t>
            </w:r>
          </w:p>
        </w:tc>
      </w:tr>
      <w:tr w:rsidR="00F719D0">
        <w:trPr>
          <w:trHeight w:val="453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реализации национальных проектов в Чукотском автономном округе за 2025 год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Тодавчич О.М.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кварталы</w:t>
            </w:r>
          </w:p>
        </w:tc>
      </w:tr>
      <w:tr w:rsidR="00F719D0">
        <w:trPr>
          <w:trHeight w:val="593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2.4.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Оперативный контроль исполнения закона Чукотского автономного округа об окружном бюджете на текущий финансовый год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2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И.В.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IV</w:t>
            </w:r>
            <w:r>
              <w:rPr>
                <w:sz w:val="22"/>
                <w:szCs w:val="22"/>
              </w:rPr>
              <w:t xml:space="preserve"> кварталы</w:t>
            </w:r>
          </w:p>
        </w:tc>
      </w:tr>
      <w:tr w:rsidR="00F719D0">
        <w:trPr>
          <w:trHeight w:val="657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Оперативный контроль исполнения закона о бюджете Чукотского территориального фонда обязательного медицинского страхования на текущий финансовый год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2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Л.П.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IV </w:t>
            </w:r>
            <w:r>
              <w:rPr>
                <w:sz w:val="22"/>
                <w:szCs w:val="22"/>
              </w:rPr>
              <w:t>кварталы</w:t>
            </w:r>
          </w:p>
        </w:tc>
      </w:tr>
      <w:tr w:rsidR="00F719D0">
        <w:trPr>
          <w:trHeight w:val="564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Экспертиза проекта закона Чукотского автономного округа «Об окружном бюджете на 2027 год и на плановый период 2028 и 2029 годов» 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Бондаренко И.В.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F719D0">
        <w:trPr>
          <w:trHeight w:val="784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Экспертиза проекта закона Чукотского автономного округа «О бюджете Чукотского территориального фонда обязательного медицинского страхования на 2027 год и на плановый период 2028 и 2029 годов»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Шадрина Л.П.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F719D0">
        <w:trPr>
          <w:trHeight w:val="143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2.8.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Экспертиза проектов законов Чукотского автономного округа «О внесении изменений в Закон Чукотского автономного округа «Об окружном бюджете на 2026 год и на плановый период 2027 и 2028 годов» 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Бондаренко И.В.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719D0">
        <w:trPr>
          <w:trHeight w:val="828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2.9.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Экспертиза проектов законов «О внесении изменений в Закон Чукотского автономного округа «О бюджете Чукотского территориального фонда обязательного медицинского страхования на 2026 год и на плановый период 2027 и 2028 годов»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Шадрина Л.П.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719D0">
        <w:trPr>
          <w:trHeight w:val="796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2.10.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реал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изации на территории Чукотского автономного округа национальных проектов, определенных Указом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Тодавчич О.М.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719D0">
        <w:trPr>
          <w:trHeight w:val="1161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2.11.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реализации комплекса процессных мероприятий «Укрепление единого культурного пространства и развитие межнациональных отношений» Государственной программы «Развитие культуры и туризма Чукотского автономного округа» за 2025 год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Шадрина Л.П.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III-IV </w:t>
            </w:r>
            <w:r>
              <w:rPr>
                <w:sz w:val="22"/>
                <w:szCs w:val="22"/>
              </w:rPr>
              <w:t>кварталы</w:t>
            </w:r>
          </w:p>
        </w:tc>
      </w:tr>
      <w:tr w:rsidR="00F719D0">
        <w:trPr>
          <w:trHeight w:val="864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2.12.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 в сфере закупок товаров, работ, услуг для нужд Государственного бюджетного учреждения Чукотского автономного округа «Центр государственной кадастровой оценки и технического архива Чукотского автономного округа» за 2025 год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Тодавчич О.М.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III-IV кварталы</w:t>
            </w:r>
          </w:p>
        </w:tc>
      </w:tr>
      <w:tr w:rsidR="00F719D0">
        <w:trPr>
          <w:trHeight w:val="818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2.13.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реализации мероприятий Государственной программы «Развитие образования и науки Чукотского автономного округа Чукотского автономного округа» за 9 месяцев 2026 года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Тодавчич О.М.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F719D0">
        <w:trPr>
          <w:trHeight w:val="645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2.14.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реализации мероприятий Государственной программы «Развитие культуры и туризма Чукотского автономного округа» за 9 месяцев 2026 года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Тодавчич О.М.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F719D0">
        <w:trPr>
          <w:trHeight w:val="695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2.15.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реализации мероприятий Государственной программы «Развитие системы обращения с отходами Чукотского автономного округа» за 9 месяцев 2026 года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239"/>
              <w:jc w:val="center"/>
            </w:pPr>
            <w:r>
              <w:t>Тодавчич О.М.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F719D0">
        <w:trPr>
          <w:trHeight w:val="49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lastRenderedPageBreak/>
              <w:t>3. Экспертная деятельность</w:t>
            </w:r>
          </w:p>
        </w:tc>
      </w:tr>
      <w:tr w:rsidR="00F719D0">
        <w:trPr>
          <w:trHeight w:val="1389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10632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Экспертиза проектов законов и иных нормативных правовых актов органов государственной власти Чукотского автономного округа в части, касающейся расходных обязательств автономного округа, экспертиза проектов законов Чукотского автономного округа, приводящих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изменению доходов окружного бюджета и бюджета Чукотского территориального фонда обязательного медицинского страхования, а также государственных программ (проектов государственных программ)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поступления</w:t>
            </w:r>
          </w:p>
        </w:tc>
      </w:tr>
      <w:tr w:rsidR="00F719D0">
        <w:trPr>
          <w:trHeight w:val="698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Экспертиза проекта закона Чукотского автономного округа «Об исполнении окружного бюджета за 2025 год»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F719D0">
        <w:trPr>
          <w:trHeight w:val="620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Экспертиза проекта закона Чукотского автономного округа «Об исполнении бюджета Чукотского территориального фонда обязательного медицинского страхования за 2025 год»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Шадрина Л.П.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F719D0">
        <w:trPr>
          <w:trHeight w:val="53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4. Реализация материалов контрольных и экспертно-аналитических мероприятий</w:t>
            </w:r>
          </w:p>
        </w:tc>
      </w:tr>
      <w:tr w:rsidR="00F719D0">
        <w:trPr>
          <w:trHeight w:val="650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10632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результатов выполнения предложений и рекомендаций Счетной палаты, отраженных в заключениях, отчетах и информационных письмах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аудиторы, </w:t>
            </w:r>
          </w:p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</w:t>
            </w:r>
          </w:p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контрольных мероприятий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F719D0">
        <w:trPr>
          <w:trHeight w:val="333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Председатель, заместитель Председателя, аудиторы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F719D0">
        <w:trPr>
          <w:trHeight w:val="650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протоколов об административных правонарушениях в рамках компетенции Счетной палаты Чукотского автономного округа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выявления нарушений</w:t>
            </w:r>
          </w:p>
        </w:tc>
      </w:tr>
      <w:tr w:rsidR="00F719D0">
        <w:trPr>
          <w:trHeight w:val="70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4.4.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исполнением представлений, предписаний и уведомлений объектами контроля по результатам проверок Счетной палаты Чукотского автономного округа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аудиторы,</w:t>
            </w:r>
          </w:p>
          <w:p w:rsidR="00F719D0" w:rsidRDefault="00F35A7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</w:t>
            </w:r>
          </w:p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контрольных мероприятий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F719D0">
        <w:trPr>
          <w:trHeight w:val="459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5. Организационно-методическая, информационная деятельность</w:t>
            </w:r>
          </w:p>
        </w:tc>
      </w:tr>
      <w:tr w:rsidR="00F719D0">
        <w:trPr>
          <w:trHeight w:val="759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5.1.</w:t>
            </w:r>
          </w:p>
        </w:tc>
        <w:tc>
          <w:tcPr>
            <w:tcW w:w="10632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исполнением плана работы Счетной палаты Чукотского автономного округа на 2026  год, подготовка плана работы Счетной палаты Чукотского автономного округа на 2027 год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Председателя,</w:t>
            </w:r>
          </w:p>
          <w:p w:rsidR="00F719D0" w:rsidRDefault="00F35A71">
            <w:pPr>
              <w:pStyle w:val="13"/>
              <w:shd w:val="clear" w:color="auto" w:fill="auto"/>
              <w:spacing w:line="216" w:lineRule="auto"/>
              <w:ind w:left="33" w:right="-108" w:hanging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F719D0">
        <w:trPr>
          <w:trHeight w:val="681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годового отчета о деятельности Счетной палаты Чукотского автономного округа в Думу Чукотского автономного округа за 2025 год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Председателя,</w:t>
            </w:r>
          </w:p>
          <w:p w:rsidR="00F719D0" w:rsidRDefault="00F35A71">
            <w:pPr>
              <w:pStyle w:val="13"/>
              <w:shd w:val="clear" w:color="auto" w:fill="auto"/>
              <w:spacing w:line="216" w:lineRule="auto"/>
              <w:ind w:left="33" w:right="-108" w:hanging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аудиторы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квартал</w:t>
            </w:r>
          </w:p>
        </w:tc>
      </w:tr>
      <w:tr w:rsidR="00F719D0">
        <w:trPr>
          <w:trHeight w:val="1223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5.3.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редставление информации о ходе исполнения окружного бюджета Чукотского автономного округа, бюджета Чукотского территориального фонда обязательного медицинского страхования, о результатах проведенных контрольных и экспертно-аналитических мероприятий в Думу </w:t>
            </w:r>
            <w:r>
              <w:rPr>
                <w:sz w:val="24"/>
                <w:szCs w:val="24"/>
              </w:rPr>
              <w:t>Чукотского автономного округа и Губернатору Чукотского автономного округа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Председателя,</w:t>
            </w:r>
          </w:p>
          <w:p w:rsidR="00F719D0" w:rsidRDefault="00F35A71">
            <w:pPr>
              <w:pStyle w:val="13"/>
              <w:shd w:val="clear" w:color="auto" w:fill="auto"/>
              <w:spacing w:line="216" w:lineRule="auto"/>
              <w:ind w:left="33" w:right="-108" w:hanging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аудиторы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137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  <w:tr w:rsidR="00F719D0">
        <w:trPr>
          <w:trHeight w:val="467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5.4.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контрольно-счетными органами муниципальных образований Чукотского автономного округа в рамках Совета КСО Чукотского автономного округа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F719D0" w:rsidRDefault="00F35A71">
            <w:pPr>
              <w:pStyle w:val="13"/>
              <w:shd w:val="clear" w:color="auto" w:fill="auto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Председателя,</w:t>
            </w:r>
          </w:p>
          <w:p w:rsidR="00F719D0" w:rsidRDefault="00F35A71">
            <w:pPr>
              <w:pStyle w:val="13"/>
              <w:shd w:val="clear" w:color="auto" w:fill="auto"/>
              <w:spacing w:line="216" w:lineRule="auto"/>
              <w:ind w:left="33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сотрудники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719D0">
        <w:trPr>
          <w:trHeight w:val="666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5.5.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протокольных поручений отделения Совета КСО при Счетной палате Российской Федерации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аудиторы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719D0">
        <w:trPr>
          <w:trHeight w:val="729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5.6.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информации о деятельности Счетной палаты СМИ и размещение на официальном сайте, страницах в социальных сетях и портал</w:t>
            </w:r>
            <w:r>
              <w:rPr>
                <w:sz w:val="24"/>
                <w:szCs w:val="24"/>
              </w:rPr>
              <w:t>е контрольно-счетных органов Российской Федерации, в ГИС ЕСГФК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аудиторы,</w:t>
            </w:r>
          </w:p>
          <w:p w:rsidR="00F719D0" w:rsidRDefault="00F35A71">
            <w:pPr>
              <w:pStyle w:val="13"/>
              <w:shd w:val="clear" w:color="auto" w:fill="auto"/>
              <w:spacing w:line="21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719D0">
        <w:trPr>
          <w:trHeight w:val="370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5.7.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сотрудников Счетной палаты Чукотского автономного округа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F719D0" w:rsidRDefault="00F35A71">
            <w:pPr>
              <w:pStyle w:val="Default"/>
              <w:spacing w:line="216" w:lineRule="auto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совместно с ответственными сотрудниками 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pStyle w:val="13"/>
              <w:shd w:val="clear" w:color="auto" w:fill="auto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719D0">
        <w:trPr>
          <w:trHeight w:val="433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5.8.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spacing w:line="216" w:lineRule="auto"/>
              <w:ind w:left="18"/>
              <w:jc w:val="both"/>
            </w:pPr>
            <w:r>
              <w:t>Участие в заседаниях Думы Чукотского автономного округа, ее постоянных комитетах, комиссиях и рабочих группах, заседаниях Правительства Чукотского автономного округа и иных органов исполнительной власти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Председатель, заместитель Председателя,</w:t>
            </w:r>
          </w:p>
          <w:p w:rsidR="00F719D0" w:rsidRDefault="00F35A71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аудиторы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719D0">
        <w:trPr>
          <w:trHeight w:val="759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5.9.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spacing w:line="216" w:lineRule="auto"/>
              <w:ind w:left="18"/>
              <w:jc w:val="both"/>
            </w:pPr>
            <w:r>
              <w:t>Подготовка и оформление заседаний Коллегии Счетной палаты Чукотского автономного округа, контроль за исполнением принятых на ее заседаниях решений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Председателя, аудиторы,</w:t>
            </w:r>
          </w:p>
          <w:p w:rsidR="00F719D0" w:rsidRDefault="00F35A71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сотрудники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719D0">
        <w:trPr>
          <w:trHeight w:val="709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5.10.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spacing w:line="216" w:lineRule="auto"/>
              <w:ind w:left="18"/>
              <w:jc w:val="both"/>
            </w:pPr>
            <w:r>
              <w:t>Методологическое обеспечение деятельности Счетной палаты Чукотского автономного округа, мониторинг стандартов ВГФК и стандартов организации деятельности и внесение изменений в них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Председателя,</w:t>
            </w:r>
          </w:p>
          <w:p w:rsidR="00F719D0" w:rsidRDefault="00F35A71">
            <w:pPr>
              <w:spacing w:line="216" w:lineRule="auto"/>
              <w:ind w:left="34" w:right="34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аудиторы</w:t>
            </w:r>
          </w:p>
          <w:p w:rsidR="00F719D0" w:rsidRDefault="00F35A71">
            <w:pPr>
              <w:spacing w:line="216" w:lineRule="auto"/>
              <w:ind w:left="34" w:right="34" w:hanging="142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сотрудники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719D0">
        <w:trPr>
          <w:trHeight w:val="732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5.11.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spacing w:line="216" w:lineRule="auto"/>
              <w:ind w:left="18"/>
              <w:jc w:val="both"/>
            </w:pPr>
            <w:r>
              <w:t>Подготовка ответов на запросы и обращения юридических и физических лиц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Председателя, аудиторы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поступления</w:t>
            </w:r>
          </w:p>
        </w:tc>
      </w:tr>
      <w:tr w:rsidR="00F719D0">
        <w:trPr>
          <w:trHeight w:val="499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5.12.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spacing w:line="216" w:lineRule="auto"/>
              <w:ind w:left="18"/>
              <w:jc w:val="both"/>
            </w:pPr>
            <w:r>
              <w:t>Организация и осуществление работ по закупке товаров, работ, услуг для обеспечения нужд Счетной палаты Чукотского автономного округа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right="-108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сотрудники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719D0">
        <w:trPr>
          <w:trHeight w:val="716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5.13.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spacing w:line="216" w:lineRule="auto"/>
              <w:ind w:left="18"/>
              <w:jc w:val="both"/>
            </w:pPr>
            <w:r>
              <w:t>Подготовка обобщенной информации по аудиту закупок товаров, работ, услуг для обеспечения государственных нужд Чукотского автономного округа за 2025 год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Тодавчич О.М.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квартал</w:t>
            </w:r>
          </w:p>
        </w:tc>
      </w:tr>
      <w:tr w:rsidR="00F719D0">
        <w:trPr>
          <w:trHeight w:val="698"/>
        </w:trPr>
        <w:tc>
          <w:tcPr>
            <w:tcW w:w="851" w:type="dxa"/>
            <w:vAlign w:val="center"/>
          </w:tcPr>
          <w:p w:rsidR="00F719D0" w:rsidRDefault="00F35A71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5.14.</w:t>
            </w:r>
          </w:p>
        </w:tc>
        <w:tc>
          <w:tcPr>
            <w:tcW w:w="10632" w:type="dxa"/>
            <w:vAlign w:val="center"/>
          </w:tcPr>
          <w:p w:rsidR="00F719D0" w:rsidRDefault="00F35A71">
            <w:pPr>
              <w:spacing w:line="216" w:lineRule="auto"/>
              <w:ind w:left="18"/>
              <w:jc w:val="both"/>
            </w:pPr>
            <w:r>
              <w:t>Организация работы по противодействию коррупции, участие в пределах полномочий в мероприятиях, направленных на противодействие коррупции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аудиторы, </w:t>
            </w:r>
          </w:p>
          <w:p w:rsidR="00F719D0" w:rsidRDefault="00F35A71">
            <w:pPr>
              <w:spacing w:line="216" w:lineRule="auto"/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сотрудники</w:t>
            </w:r>
          </w:p>
        </w:tc>
        <w:tc>
          <w:tcPr>
            <w:tcW w:w="1984" w:type="dxa"/>
            <w:vAlign w:val="center"/>
          </w:tcPr>
          <w:p w:rsidR="00F719D0" w:rsidRDefault="00F35A71">
            <w:pPr>
              <w:spacing w:line="216" w:lineRule="auto"/>
              <w:ind w:left="-79" w:right="-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F719D0" w:rsidRDefault="00F35A71">
            <w:pPr>
              <w:spacing w:line="216" w:lineRule="auto"/>
              <w:ind w:left="-79" w:right="-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</w:tr>
    </w:tbl>
    <w:p w:rsidR="00F719D0" w:rsidRDefault="00F719D0">
      <w:pPr>
        <w:spacing w:line="18" w:lineRule="atLeast"/>
        <w:jc w:val="both"/>
        <w:rPr>
          <w:sz w:val="22"/>
          <w:szCs w:val="22"/>
        </w:rPr>
      </w:pPr>
    </w:p>
    <w:sectPr w:rsidR="00F719D0">
      <w:headerReference w:type="even" r:id="rId8"/>
      <w:headerReference w:type="default" r:id="rId9"/>
      <w:pgSz w:w="16838" w:h="11906" w:orient="landscape"/>
      <w:pgMar w:top="284" w:right="1134" w:bottom="709" w:left="902" w:header="426" w:footer="9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9D0" w:rsidRDefault="00F35A71">
      <w:r>
        <w:separator/>
      </w:r>
    </w:p>
  </w:endnote>
  <w:endnote w:type="continuationSeparator" w:id="0">
    <w:p w:rsidR="00F719D0" w:rsidRDefault="00F3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9D0" w:rsidRDefault="00F35A71">
      <w:r>
        <w:separator/>
      </w:r>
    </w:p>
  </w:footnote>
  <w:footnote w:type="continuationSeparator" w:id="0">
    <w:p w:rsidR="00F719D0" w:rsidRDefault="00F3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9D0" w:rsidRDefault="00F35A71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F719D0" w:rsidRDefault="00F719D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9D0" w:rsidRDefault="00F35A71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5</w:t>
    </w:r>
    <w:r>
      <w:rPr>
        <w:rStyle w:val="af6"/>
      </w:rPr>
      <w:fldChar w:fldCharType="end"/>
    </w:r>
  </w:p>
  <w:p w:rsidR="00F719D0" w:rsidRDefault="00F719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301A9"/>
    <w:multiLevelType w:val="hybridMultilevel"/>
    <w:tmpl w:val="C8503E58"/>
    <w:lvl w:ilvl="0" w:tplc="4AD6815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7F2AFA72">
      <w:start w:val="1"/>
      <w:numFmt w:val="lowerLetter"/>
      <w:lvlText w:val="%2."/>
      <w:lvlJc w:val="left"/>
      <w:pPr>
        <w:ind w:left="1200" w:hanging="360"/>
      </w:pPr>
    </w:lvl>
    <w:lvl w:ilvl="2" w:tplc="99026BA2">
      <w:start w:val="1"/>
      <w:numFmt w:val="lowerRoman"/>
      <w:lvlText w:val="%3."/>
      <w:lvlJc w:val="right"/>
      <w:pPr>
        <w:ind w:left="1920" w:hanging="180"/>
      </w:pPr>
    </w:lvl>
    <w:lvl w:ilvl="3" w:tplc="85C69FFC">
      <w:start w:val="1"/>
      <w:numFmt w:val="decimal"/>
      <w:lvlText w:val="%4."/>
      <w:lvlJc w:val="left"/>
      <w:pPr>
        <w:ind w:left="2640" w:hanging="360"/>
      </w:pPr>
    </w:lvl>
    <w:lvl w:ilvl="4" w:tplc="0BF879E0">
      <w:start w:val="1"/>
      <w:numFmt w:val="lowerLetter"/>
      <w:lvlText w:val="%5."/>
      <w:lvlJc w:val="left"/>
      <w:pPr>
        <w:ind w:left="3360" w:hanging="360"/>
      </w:pPr>
    </w:lvl>
    <w:lvl w:ilvl="5" w:tplc="FE3ABBD6">
      <w:start w:val="1"/>
      <w:numFmt w:val="lowerRoman"/>
      <w:lvlText w:val="%6."/>
      <w:lvlJc w:val="right"/>
      <w:pPr>
        <w:ind w:left="4080" w:hanging="180"/>
      </w:pPr>
    </w:lvl>
    <w:lvl w:ilvl="6" w:tplc="878A4740">
      <w:start w:val="1"/>
      <w:numFmt w:val="decimal"/>
      <w:lvlText w:val="%7."/>
      <w:lvlJc w:val="left"/>
      <w:pPr>
        <w:ind w:left="4800" w:hanging="360"/>
      </w:pPr>
    </w:lvl>
    <w:lvl w:ilvl="7" w:tplc="EAFC73C2">
      <w:start w:val="1"/>
      <w:numFmt w:val="lowerLetter"/>
      <w:lvlText w:val="%8."/>
      <w:lvlJc w:val="left"/>
      <w:pPr>
        <w:ind w:left="5520" w:hanging="360"/>
      </w:pPr>
    </w:lvl>
    <w:lvl w:ilvl="8" w:tplc="60C60BAC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D0"/>
    <w:rsid w:val="0026432C"/>
    <w:rsid w:val="00413AE1"/>
    <w:rsid w:val="00B872FE"/>
    <w:rsid w:val="00E85C7F"/>
    <w:rsid w:val="00F35A71"/>
    <w:rsid w:val="00F71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BBE4"/>
  <w15:docId w15:val="{3CE6EC6C-F711-4F1E-AC07-FD740E00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character" w:styleId="af6">
    <w:name w:val="page number"/>
    <w:basedOn w:val="a0"/>
  </w:style>
  <w:style w:type="paragraph" w:styleId="af7">
    <w:name w:val="Body Text"/>
    <w:basedOn w:val="a"/>
    <w:pPr>
      <w:jc w:val="both"/>
    </w:p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43">
    <w:name w:val="Основной текст (4)_"/>
    <w:basedOn w:val="a0"/>
    <w:link w:val="44"/>
    <w:rPr>
      <w:sz w:val="21"/>
      <w:szCs w:val="21"/>
      <w:shd w:val="clear" w:color="auto" w:fill="FFFFFF"/>
    </w:rPr>
  </w:style>
  <w:style w:type="character" w:customStyle="1" w:styleId="af9">
    <w:name w:val="Основной текст_"/>
    <w:basedOn w:val="a0"/>
    <w:link w:val="13"/>
    <w:rPr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3">
    <w:name w:val="Основной текст1"/>
    <w:basedOn w:val="a"/>
    <w:link w:val="af9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33">
    <w:name w:val="Основной текст (3)_"/>
    <w:basedOn w:val="a0"/>
    <w:link w:val="34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317" w:lineRule="exact"/>
    </w:pPr>
    <w:rPr>
      <w:sz w:val="27"/>
      <w:szCs w:val="27"/>
    </w:rPr>
  </w:style>
  <w:style w:type="paragraph" w:styleId="afa">
    <w:name w:val="footnote text"/>
    <w:basedOn w:val="a"/>
    <w:link w:val="afb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</w:style>
  <w:style w:type="character" w:styleId="afc">
    <w:name w:val="footnote reference"/>
    <w:basedOn w:val="a0"/>
    <w:semiHidden/>
    <w:unhideWhenUsed/>
    <w:rPr>
      <w:vertAlign w:val="superscript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Pr>
      <w:b/>
      <w:bCs/>
      <w:sz w:val="24"/>
      <w:szCs w:val="24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paragraph" w:styleId="aff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145C3-B660-4D0D-8130-6DF4AF07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Совета Думы</vt:lpstr>
    </vt:vector>
  </TitlesOfParts>
  <Company>Счетная палата Чукотского АО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Совета Думы</dc:title>
  <dc:creator>Svetlana</dc:creator>
  <cp:lastModifiedBy>Оксана Тодавчич</cp:lastModifiedBy>
  <cp:revision>3</cp:revision>
  <dcterms:created xsi:type="dcterms:W3CDTF">2026-04-28T04:06:00Z</dcterms:created>
  <dcterms:modified xsi:type="dcterms:W3CDTF">2026-04-28T04:33:00Z</dcterms:modified>
</cp:coreProperties>
</file>