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647832">
        <w:rPr>
          <w:b/>
          <w:bCs/>
          <w:sz w:val="32"/>
          <w:szCs w:val="32"/>
        </w:rPr>
        <w:t>2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1843"/>
        <w:gridCol w:w="1701"/>
        <w:gridCol w:w="2551"/>
      </w:tblGrid>
      <w:tr w:rsidR="00DF2833" w:rsidRPr="00872BA1" w:rsidTr="004D5CB2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701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4D5CB2">
        <w:trPr>
          <w:trHeight w:val="241"/>
        </w:trPr>
        <w:tc>
          <w:tcPr>
            <w:tcW w:w="16018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E3607" w:rsidRPr="00872BA1" w:rsidTr="004D5CB2">
        <w:trPr>
          <w:trHeight w:val="865"/>
        </w:trPr>
        <w:tc>
          <w:tcPr>
            <w:tcW w:w="568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</w:pPr>
            <w:r w:rsidRPr="00E66E66">
              <w:t xml:space="preserve">Аудит эффективности реализации в 2018-2021 годах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8E3607" w:rsidRPr="00E66E66" w:rsidRDefault="008E3607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Совместное мероприятие со Счетной палатой Российской Федерации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310C15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2021 год-              </w:t>
            </w:r>
            <w:r w:rsidR="008E3607" w:rsidRPr="001F77D4">
              <w:rPr>
                <w:sz w:val="22"/>
                <w:szCs w:val="22"/>
                <w:lang w:val="en-US"/>
              </w:rPr>
              <w:t>I</w:t>
            </w:r>
            <w:r w:rsidR="008E3607" w:rsidRPr="001F77D4">
              <w:rPr>
                <w:sz w:val="22"/>
                <w:szCs w:val="22"/>
              </w:rPr>
              <w:t xml:space="preserve"> квартал</w:t>
            </w:r>
            <w:r w:rsidRPr="001F77D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14A38" w:rsidRPr="00872BA1" w:rsidTr="00585699">
        <w:trPr>
          <w:trHeight w:val="1042"/>
        </w:trPr>
        <w:tc>
          <w:tcPr>
            <w:tcW w:w="568" w:type="dxa"/>
          </w:tcPr>
          <w:p w:rsidR="00914A38" w:rsidRPr="001F77D4" w:rsidRDefault="00CF2D27" w:rsidP="00CF2D27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4A38" w:rsidRPr="001F77D4">
              <w:rPr>
                <w:sz w:val="20"/>
                <w:szCs w:val="20"/>
              </w:rPr>
              <w:t>1.</w:t>
            </w:r>
            <w:r w:rsidR="008E3607" w:rsidRPr="001F77D4">
              <w:rPr>
                <w:sz w:val="20"/>
                <w:szCs w:val="20"/>
              </w:rPr>
              <w:t>2</w:t>
            </w:r>
            <w:r w:rsidR="00914A38"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14A38" w:rsidRPr="00914A38" w:rsidRDefault="00914A38" w:rsidP="00585699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«Укрепление единого культурного пространства и развитие межнациональных отношений» Г</w:t>
            </w:r>
            <w:r w:rsidR="006F2E19">
              <w:t>осударственной программы</w:t>
            </w:r>
            <w:r w:rsidRPr="00914A38">
              <w:t xml:space="preserve"> «Развитие культуры, спорта и туризма Чукотского </w:t>
            </w:r>
            <w:r w:rsidR="007E6DCD"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914A38" w:rsidRPr="001F77D4" w:rsidRDefault="00914A38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914A38" w:rsidRPr="001F77D4" w:rsidRDefault="006E5141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  <w:r w:rsidR="00073BD0" w:rsidRPr="001F77D4">
              <w:rPr>
                <w:color w:val="000000"/>
                <w:sz w:val="22"/>
                <w:szCs w:val="22"/>
              </w:rPr>
              <w:t>;</w:t>
            </w:r>
          </w:p>
          <w:p w:rsidR="00914A38" w:rsidRPr="001F77D4" w:rsidRDefault="00914A3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1E7411">
        <w:trPr>
          <w:trHeight w:val="491"/>
        </w:trPr>
        <w:tc>
          <w:tcPr>
            <w:tcW w:w="568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8E3607" w:rsidRPr="00872BA1" w:rsidRDefault="008E3607" w:rsidP="008B56A7">
            <w:pPr>
              <w:pStyle w:val="ae"/>
              <w:jc w:val="both"/>
            </w:pPr>
            <w:r w:rsidRPr="00872BA1">
              <w:t>Внешняя проверка бюджетной отчетности Чукотского территориального ф</w:t>
            </w:r>
            <w:bookmarkStart w:id="0" w:name="_GoBack"/>
            <w:bookmarkEnd w:id="0"/>
            <w:r w:rsidRPr="00872BA1">
              <w:t>онда обязательного медицинского страхования за 202</w:t>
            </w:r>
            <w:r>
              <w:t>1</w:t>
            </w:r>
            <w:r w:rsidRPr="00872BA1">
              <w:t xml:space="preserve"> год</w:t>
            </w:r>
          </w:p>
          <w:p w:rsidR="008E3607" w:rsidRPr="00872BA1" w:rsidRDefault="008E3607" w:rsidP="001E7411">
            <w:pPr>
              <w:pStyle w:val="ae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Внешняя проверка бюджетной отчетности главных администраторов средств окружного бюджета за 202</w:t>
            </w:r>
            <w:r>
              <w:t>1</w:t>
            </w:r>
            <w:r w:rsidRPr="00872BA1">
              <w:t xml:space="preserve"> год </w:t>
            </w:r>
          </w:p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 свод</w:t>
            </w:r>
          </w:p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8E3607" w:rsidRPr="00914A38" w:rsidRDefault="008E3607" w:rsidP="008E3607">
            <w:pPr>
              <w:jc w:val="both"/>
            </w:pPr>
            <w:r w:rsidRPr="00914A38">
              <w:t xml:space="preserve">Проверка </w:t>
            </w:r>
            <w:r w:rsidRPr="006E5141">
              <w:rPr>
                <w:b/>
              </w:rPr>
              <w:t>законности и эффективности</w:t>
            </w:r>
            <w:r w:rsidRPr="00914A38">
              <w:t xml:space="preserve">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инфраструктуры здравоохранения» </w:t>
            </w:r>
            <w:r>
              <w:t>Государственной программы</w:t>
            </w:r>
            <w:r w:rsidRPr="00914A38">
              <w:t xml:space="preserve"> «Развитие здравоохранения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8E3607" w:rsidRPr="00914A38" w:rsidRDefault="008E3607" w:rsidP="001E7411">
            <w:pPr>
              <w:jc w:val="both"/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подпрограммы «Развитие жилищного строительства» Г</w:t>
            </w:r>
            <w:r>
              <w:t>осударственной программы</w:t>
            </w:r>
            <w:r w:rsidRPr="00914A38">
              <w:t xml:space="preserve"> «Развитие жилищного строительства в Чукотском </w:t>
            </w:r>
            <w:r>
              <w:t>автономном округе</w:t>
            </w:r>
            <w:r w:rsidRPr="00914A38">
              <w:t xml:space="preserve">» </w:t>
            </w:r>
            <w:r w:rsidR="001E7411" w:rsidRPr="00585699">
              <w:rPr>
                <w:color w:val="000000" w:themeColor="text1"/>
              </w:rPr>
              <w:t>(</w:t>
            </w:r>
            <w:r w:rsidR="001E7411" w:rsidRPr="00585699">
              <w:rPr>
                <w:color w:val="000000"/>
              </w:rPr>
              <w:t xml:space="preserve">совместное КМ </w:t>
            </w:r>
            <w:r w:rsidRPr="00585699">
              <w:t xml:space="preserve">с КСП </w:t>
            </w:r>
            <w:proofErr w:type="spellStart"/>
            <w:r w:rsidRPr="00585699">
              <w:t>Провиденского</w:t>
            </w:r>
            <w:proofErr w:type="spellEnd"/>
            <w:r w:rsidRPr="00585699">
              <w:t xml:space="preserve"> ГО</w:t>
            </w:r>
            <w:r w:rsidR="001E7411"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B14A13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="001F77D4" w:rsidRPr="001F77D4">
              <w:rPr>
                <w:sz w:val="22"/>
                <w:szCs w:val="22"/>
              </w:rPr>
              <w:t>-</w:t>
            </w:r>
            <w:r w:rsidR="00B14A13" w:rsidRPr="001F77D4">
              <w:rPr>
                <w:sz w:val="22"/>
                <w:szCs w:val="22"/>
                <w:lang w:val="en-US"/>
              </w:rPr>
              <w:t>III</w:t>
            </w:r>
            <w:r w:rsidR="00B14A13"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1F77D4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pStyle w:val="1"/>
              <w:jc w:val="both"/>
              <w:rPr>
                <w:b w:val="0"/>
              </w:rPr>
            </w:pPr>
            <w:r>
              <w:t>Проверка</w:t>
            </w:r>
            <w:r w:rsidR="008E3607" w:rsidRPr="006E5141">
              <w:t xml:space="preserve"> принятых мер по устранению нарушений и недостатков</w:t>
            </w:r>
            <w:r w:rsidR="008E3607" w:rsidRPr="006E5141">
              <w:rPr>
                <w:b w:val="0"/>
              </w:rPr>
              <w:t xml:space="preserve">, выявленных в ходе контрольного мероприятия «Аудит эффективности расходования бюджетных средств, направленных на реализацию мероприятий ГП «Развитие ЖКХ и водохозяйственного комплекса Чукотского АО»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</w:t>
            </w:r>
            <w:r w:rsidR="008E3607" w:rsidRPr="006E5141">
              <w:rPr>
                <w:b w:val="0"/>
              </w:rPr>
              <w:lastRenderedPageBreak/>
              <w:t xml:space="preserve">обеспечивающим возмещение издержек, и на возмещение затрат, не учтенных при установлении тарифов на </w:t>
            </w:r>
            <w:proofErr w:type="spellStart"/>
            <w:r w:rsidR="008E3607" w:rsidRPr="006E5141">
              <w:rPr>
                <w:b w:val="0"/>
              </w:rPr>
              <w:t>комуслуги</w:t>
            </w:r>
            <w:proofErr w:type="spellEnd"/>
            <w:r w:rsidR="008E3607" w:rsidRPr="006E5141">
              <w:rPr>
                <w:b w:val="0"/>
              </w:rPr>
              <w:t xml:space="preserve"> в 2018 – 2019 годах»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lastRenderedPageBreak/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8E3607" w:rsidRPr="00E66E66">
              <w:t xml:space="preserve">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      </w:r>
            <w:proofErr w:type="spellStart"/>
            <w:r w:rsidR="008E3607" w:rsidRPr="00E66E66">
              <w:t>Провиденского</w:t>
            </w:r>
            <w:proofErr w:type="spellEnd"/>
            <w:r w:rsidR="008E3607" w:rsidRPr="00E66E66">
              <w:t xml:space="preserve"> городского округа за 2020 год, а также использования межбюджетных трансфертов, </w:t>
            </w:r>
            <w:r>
              <w:t>направленных</w:t>
            </w:r>
            <w:r w:rsidR="008E3607" w:rsidRPr="00E66E66">
              <w:t xml:space="preserve"> в 2020 году из окружного бюджета бюджету муниципального образования </w:t>
            </w:r>
            <w:proofErr w:type="spellStart"/>
            <w:r w:rsidR="008E3607" w:rsidRPr="00E66E66">
              <w:t>Провиденский</w:t>
            </w:r>
            <w:proofErr w:type="spellEnd"/>
            <w:r w:rsidR="008E3607" w:rsidRPr="00E66E66">
              <w:t xml:space="preserve"> городской округ»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</w:rPr>
              <w:t>-</w:t>
            </w:r>
            <w:r w:rsidR="001F77D4"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8E3607" w:rsidRDefault="008E3607" w:rsidP="001E7411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 w:rsidRPr="00914A38">
              <w:t>Проверка использования средств</w:t>
            </w:r>
            <w:r w:rsidR="0052549B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водохозяйственного комплекса» </w:t>
            </w:r>
            <w:r>
              <w:t>Государственной программы</w:t>
            </w:r>
            <w:r w:rsidRPr="00914A38">
              <w:t xml:space="preserve"> «Развитие жилищно-коммунального хозяйства и водохозяйственного комплекса Чукотского </w:t>
            </w:r>
            <w:r>
              <w:t>автономного округа</w:t>
            </w:r>
            <w:r w:rsidRPr="00914A38"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2549B" w:rsidRPr="001F77D4" w:rsidRDefault="008E3607" w:rsidP="001F77D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4D5CB2">
        <w:trPr>
          <w:trHeight w:val="456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8E3607" w:rsidRPr="0052549B" w:rsidRDefault="008E3607" w:rsidP="008E3607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2021 году на реализацию </w:t>
            </w:r>
            <w:r>
              <w:t>регионального проекта</w:t>
            </w:r>
            <w:r w:rsidRPr="00914A38">
              <w:t xml:space="preserve"> «</w:t>
            </w:r>
            <w:r w:rsidR="00585699">
              <w:t>Спорт – норма жизни</w:t>
            </w:r>
            <w:r w:rsidRPr="00914A38">
              <w:t xml:space="preserve">» </w:t>
            </w:r>
            <w:r w:rsidR="00585699">
              <w:t>федерального проекта «Спорт – норма жизни</w:t>
            </w:r>
            <w:r w:rsidR="00585699" w:rsidRPr="00585699">
              <w:t xml:space="preserve">» </w:t>
            </w:r>
            <w:r w:rsidR="0052549B" w:rsidRPr="00585699">
              <w:t>национального проекта «Демография»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обращение Прокуратуры </w:t>
            </w:r>
            <w:r w:rsidRPr="001F77D4">
              <w:rPr>
                <w:color w:val="000000"/>
                <w:sz w:val="22"/>
                <w:szCs w:val="22"/>
              </w:rPr>
              <w:t>Чукотского автономного округа</w:t>
            </w:r>
          </w:p>
        </w:tc>
      </w:tr>
      <w:tr w:rsidR="008E3607" w:rsidRPr="00872BA1" w:rsidTr="004D5CB2">
        <w:trPr>
          <w:trHeight w:val="407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jc w:val="both"/>
              <w:rPr>
                <w:i/>
                <w:sz w:val="6"/>
                <w:szCs w:val="6"/>
              </w:rPr>
            </w:pPr>
            <w:r w:rsidRPr="00914A38">
              <w:t>Проверка использования средств</w:t>
            </w:r>
            <w:r w:rsidR="0052549B" w:rsidRPr="0052549B">
              <w:t xml:space="preserve"> </w:t>
            </w:r>
            <w:r w:rsidR="0052549B">
              <w:t>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«Организация морских и </w:t>
            </w:r>
            <w:proofErr w:type="spellStart"/>
            <w:r w:rsidRPr="00914A38">
              <w:t>внутрилиманных</w:t>
            </w:r>
            <w:proofErr w:type="spellEnd"/>
            <w:r w:rsidRPr="00914A38">
              <w:t xml:space="preserve"> грузопассажирских линий» </w:t>
            </w:r>
            <w:r>
              <w:t>Государственной программы</w:t>
            </w:r>
            <w:r w:rsidRPr="00914A38">
              <w:t xml:space="preserve"> «Развитие транспортной инфраструктуры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  <w:lang w:val="en-US"/>
              </w:rPr>
              <w:t>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4D5CB2">
        <w:trPr>
          <w:trHeight w:val="407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  <w:rPr>
                <w:strike/>
              </w:rPr>
            </w:pPr>
            <w:r w:rsidRPr="00E66E66">
              <w:t xml:space="preserve">Проверка использования межбюджетных трансфертов, </w:t>
            </w:r>
            <w:r w:rsidR="0052549B">
              <w:t>направленных</w:t>
            </w:r>
            <w:r w:rsidRPr="00E66E66">
              <w:t xml:space="preserve"> в 2021 году из окружного бюджета бюджету муниципального образования городской округ </w:t>
            </w:r>
            <w:proofErr w:type="spellStart"/>
            <w:r w:rsidRPr="00E66E66">
              <w:t>Эгвекинот</w:t>
            </w:r>
            <w:proofErr w:type="spellEnd"/>
            <w:r w:rsidRPr="00E66E66">
              <w:t xml:space="preserve"> </w:t>
            </w:r>
            <w:r w:rsidR="00585699">
              <w:t>(</w:t>
            </w:r>
            <w:r w:rsidRPr="00585699">
              <w:t xml:space="preserve">совместное КМ с КСП </w:t>
            </w:r>
            <w:proofErr w:type="spellStart"/>
            <w:r w:rsidRPr="00585699">
              <w:t>Эгвекинот</w:t>
            </w:r>
            <w:proofErr w:type="spellEnd"/>
            <w:r w:rsidR="00585699">
              <w:t>)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607" w:rsidRPr="00872BA1" w:rsidTr="004D5CB2">
        <w:trPr>
          <w:trHeight w:val="407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8E3607" w:rsidRPr="00914A38" w:rsidRDefault="008E3607" w:rsidP="008E3607">
            <w:pPr>
              <w:jc w:val="both"/>
            </w:pPr>
            <w:r w:rsidRPr="00914A38">
              <w:t xml:space="preserve">Проверка </w:t>
            </w:r>
            <w:r w:rsidRPr="006E5141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2019-2021 годах и истекшем периоде 2022 года на создание новых мест в общеобразовательных организациях, расположенных в сельской местности и поселках городского типа, в рамках реализации регионального проекта «Современная школа» </w:t>
            </w:r>
            <w:r w:rsidR="00585699">
              <w:t xml:space="preserve">федерального </w:t>
            </w:r>
            <w:r w:rsidR="00585699" w:rsidRPr="00914A38">
              <w:t xml:space="preserve">проекта «Современная школа» </w:t>
            </w:r>
            <w:r w:rsidR="0052549B" w:rsidRPr="00585699">
              <w:t>национального проекта «Образование»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413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jc w:val="both"/>
            </w:pPr>
            <w:r>
              <w:rPr>
                <w:bCs/>
                <w:color w:val="000000" w:themeColor="text1"/>
              </w:rPr>
              <w:t xml:space="preserve">Проверка соблюдения установленного порядка </w:t>
            </w:r>
            <w:r w:rsidR="008E3607" w:rsidRPr="00E66E66">
              <w:rPr>
                <w:bCs/>
                <w:color w:val="000000" w:themeColor="text1"/>
              </w:rPr>
              <w:t xml:space="preserve">формирования государственной собственности Чукотского автономного округа, </w:t>
            </w:r>
            <w:r>
              <w:rPr>
                <w:bCs/>
                <w:color w:val="000000" w:themeColor="text1"/>
              </w:rPr>
              <w:t xml:space="preserve">её </w:t>
            </w:r>
            <w:r w:rsidR="008E3607" w:rsidRPr="00E66E66">
              <w:rPr>
                <w:bCs/>
                <w:color w:val="000000" w:themeColor="text1"/>
              </w:rPr>
              <w:t>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="008E3607" w:rsidRPr="00E66E66">
              <w:t xml:space="preserve"> подпрограммы «Снижение рисков и смягчение последствий природного и техногенного характера» </w:t>
            </w:r>
            <w:r w:rsidR="008E3607">
              <w:t>Государственной программы</w:t>
            </w:r>
            <w:r w:rsidR="008E3607" w:rsidRPr="00E66E66">
              <w:t xml:space="preserve"> «Предупреждение </w:t>
            </w:r>
            <w:r w:rsidR="008E3607">
              <w:t>чрезвычайных ситуаций</w:t>
            </w:r>
            <w:r w:rsidR="008E3607" w:rsidRPr="00E66E66">
              <w:t xml:space="preserve"> природного и техногенного характера и обеспечение пожарной безопасности в Чукотском автономном округе» в 2019-2021 годах и истекшем периоде 2022 года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712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8E3607" w:rsidRPr="00914A38" w:rsidRDefault="008E3607" w:rsidP="00431454">
            <w:pPr>
              <w:jc w:val="both"/>
            </w:pPr>
            <w:r w:rsidRPr="00914A38">
              <w:t xml:space="preserve">Проверка </w:t>
            </w:r>
            <w:r w:rsidR="00AF092D">
              <w:t xml:space="preserve">законности предоставления и эффективности </w:t>
            </w:r>
            <w:r w:rsidRPr="00914A38">
              <w:t>использования средств</w:t>
            </w:r>
            <w:r w:rsidR="00AF092D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угольной промышленности» </w:t>
            </w:r>
            <w:r>
              <w:t>Государственной программы</w:t>
            </w:r>
            <w:r w:rsidRPr="00914A38">
              <w:t xml:space="preserve"> «Развитие энергетики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1F77D4" w:rsidRPr="001F77D4" w:rsidRDefault="001F77D4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8E3607" w:rsidRPr="001F77D4" w:rsidRDefault="008E3607" w:rsidP="001F77D4">
            <w:pPr>
              <w:ind w:left="-109" w:right="-103" w:hanging="1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852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8E3607" w:rsidRPr="00914A38" w:rsidRDefault="008E3607" w:rsidP="00755F97">
            <w:pPr>
              <w:jc w:val="both"/>
              <w:rPr>
                <w:bCs/>
                <w:color w:val="000000" w:themeColor="text1"/>
              </w:rPr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</w:t>
            </w:r>
            <w:r>
              <w:rPr>
                <w:color w:val="000000" w:themeColor="text1"/>
              </w:rPr>
              <w:t>регионального проекта</w:t>
            </w:r>
            <w:r w:rsidRPr="00914A38">
              <w:rPr>
                <w:color w:val="000000" w:themeColor="text1"/>
              </w:rPr>
              <w:t xml:space="preserve"> «Формирование комфортной городской среды» </w:t>
            </w:r>
            <w:r w:rsidRPr="00585699">
              <w:rPr>
                <w:color w:val="000000" w:themeColor="text1"/>
              </w:rPr>
              <w:t>(</w:t>
            </w:r>
            <w:r w:rsidRPr="00585699">
              <w:rPr>
                <w:color w:val="000000"/>
              </w:rPr>
              <w:t xml:space="preserve">совместное КМ с КСП </w:t>
            </w:r>
            <w:proofErr w:type="spellStart"/>
            <w:r w:rsidRPr="00585699">
              <w:rPr>
                <w:color w:val="000000"/>
              </w:rPr>
              <w:t>г.Анадырь</w:t>
            </w:r>
            <w:proofErr w:type="spellEnd"/>
            <w:r w:rsidRPr="00585699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AF092D" w:rsidRPr="001F77D4" w:rsidRDefault="00AF092D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- 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 обращение правоохранительных органов,</w:t>
            </w:r>
          </w:p>
        </w:tc>
      </w:tr>
      <w:tr w:rsidR="008E3607" w:rsidRPr="00872BA1" w:rsidTr="004D5CB2">
        <w:trPr>
          <w:trHeight w:val="389"/>
        </w:trPr>
        <w:tc>
          <w:tcPr>
            <w:tcW w:w="16018" w:type="dxa"/>
            <w:gridSpan w:val="5"/>
            <w:vAlign w:val="center"/>
          </w:tcPr>
          <w:p w:rsidR="008E3607" w:rsidRPr="00872BA1" w:rsidRDefault="008E3607" w:rsidP="008E3607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9355" w:type="dxa"/>
          </w:tcPr>
          <w:p w:rsidR="008E3607" w:rsidRPr="000352FA" w:rsidRDefault="008E3607" w:rsidP="008E3607">
            <w:pPr>
              <w:jc w:val="both"/>
            </w:pPr>
            <w:r w:rsidRPr="000352FA">
              <w:t xml:space="preserve">Оценка организации бюджетного процесса главными распорядителями бюджетных средств при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</w:p>
        </w:tc>
        <w:tc>
          <w:tcPr>
            <w:tcW w:w="1843" w:type="dxa"/>
          </w:tcPr>
          <w:p w:rsidR="008E3607" w:rsidRPr="00872BA1" w:rsidRDefault="008E3607" w:rsidP="008E360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9355" w:type="dxa"/>
          </w:tcPr>
          <w:p w:rsidR="008E3607" w:rsidRPr="00872BA1" w:rsidRDefault="008E3607" w:rsidP="00431454">
            <w:pPr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предоставления из окружного бюджета бюджетам муниципальных образований Чукотского автономного округа межбюджетных трансфертов в 2018 – 2020 годах</w:t>
            </w:r>
            <w:r w:rsidR="00BB23F8">
              <w:rPr>
                <w:color w:val="000000"/>
              </w:rPr>
              <w:t xml:space="preserve"> и результативности их использования</w:t>
            </w:r>
          </w:p>
        </w:tc>
        <w:tc>
          <w:tcPr>
            <w:tcW w:w="1843" w:type="dxa"/>
          </w:tcPr>
          <w:p w:rsidR="008E3607" w:rsidRPr="00872BA1" w:rsidRDefault="008E3607" w:rsidP="008E3607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DD116A" w:rsidP="00DD116A">
            <w:pPr>
              <w:spacing w:line="18" w:lineRule="atLeast"/>
              <w:ind w:left="-108" w:right="-2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3607" w:rsidRPr="001F77D4">
              <w:rPr>
                <w:sz w:val="20"/>
                <w:szCs w:val="20"/>
                <w:lang w:val="en-US"/>
              </w:rPr>
              <w:t>2.3.</w:t>
            </w:r>
          </w:p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431454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8E3607" w:rsidRPr="00872BA1" w:rsidRDefault="008E3607" w:rsidP="008E3607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271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8E3607" w:rsidRPr="00872BA1" w:rsidRDefault="008E3607" w:rsidP="008E3607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758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431454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1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1843" w:type="dxa"/>
          </w:tcPr>
          <w:p w:rsidR="008E3607" w:rsidRPr="00F450A7" w:rsidRDefault="008E3607" w:rsidP="00151E19">
            <w:pPr>
              <w:spacing w:line="18" w:lineRule="atLeast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 w:rsidR="00151E19"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549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CF1FDA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1843" w:type="dxa"/>
          </w:tcPr>
          <w:p w:rsidR="008E3607" w:rsidRDefault="008E3607" w:rsidP="00CF2D2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 w:rsidR="00CF2D27"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8E3607" w:rsidRPr="00F450A7" w:rsidRDefault="008E3607" w:rsidP="008E3607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334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 w:rsidR="001F77D4"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</w:tcPr>
          <w:p w:rsidR="008E3607" w:rsidRDefault="008E3607" w:rsidP="00CF2D2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 w:rsidR="00CF2D27"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8E3607" w:rsidRPr="00F450A7" w:rsidRDefault="008E3607" w:rsidP="008E3607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4D5CB2">
        <w:trPr>
          <w:trHeight w:val="257"/>
        </w:trPr>
        <w:tc>
          <w:tcPr>
            <w:tcW w:w="568" w:type="dxa"/>
          </w:tcPr>
          <w:p w:rsidR="008E3607" w:rsidRPr="001F77D4" w:rsidRDefault="008E3607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2.</w:t>
            </w:r>
            <w:r w:rsidRPr="001F77D4">
              <w:rPr>
                <w:sz w:val="20"/>
                <w:szCs w:val="20"/>
                <w:lang w:val="en-US"/>
              </w:rPr>
              <w:t>11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872BA1" w:rsidRDefault="008E3607" w:rsidP="00755F97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8E3607" w:rsidRPr="00872BA1" w:rsidRDefault="008E3607" w:rsidP="008E3607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872BA1" w:rsidRDefault="008E3607" w:rsidP="008E360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8E3607" w:rsidRPr="00872BA1" w:rsidRDefault="008E3607" w:rsidP="008E360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25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2.12.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872BA1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25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2.13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872BA1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25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2.14.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2022 год и на плановый период 2023 и 2024 годов» </w:t>
            </w:r>
          </w:p>
        </w:tc>
        <w:tc>
          <w:tcPr>
            <w:tcW w:w="1843" w:type="dxa"/>
          </w:tcPr>
          <w:p w:rsidR="00E1489F" w:rsidRPr="00872BA1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25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2.15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r w:rsidRPr="00872BA1">
              <w:rPr>
                <w:color w:val="000000"/>
                <w:sz w:val="24"/>
                <w:szCs w:val="24"/>
              </w:rPr>
              <w:t>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:rsidR="00E1489F" w:rsidRPr="00872BA1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6A6E5B">
        <w:trPr>
          <w:trHeight w:val="395"/>
        </w:trPr>
        <w:tc>
          <w:tcPr>
            <w:tcW w:w="16018" w:type="dxa"/>
            <w:gridSpan w:val="5"/>
          </w:tcPr>
          <w:p w:rsidR="00E1489F" w:rsidRPr="00643685" w:rsidRDefault="00E1489F" w:rsidP="00E1489F">
            <w:pPr>
              <w:spacing w:line="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43685">
              <w:rPr>
                <w:b/>
                <w:sz w:val="28"/>
                <w:szCs w:val="28"/>
              </w:rPr>
              <w:t xml:space="preserve">3. </w:t>
            </w:r>
            <w:r w:rsidRPr="00643685">
              <w:rPr>
                <w:b/>
              </w:rPr>
              <w:t>Эксперт</w:t>
            </w:r>
            <w:r>
              <w:rPr>
                <w:b/>
              </w:rPr>
              <w:t xml:space="preserve">ная деятельность </w:t>
            </w:r>
          </w:p>
        </w:tc>
      </w:tr>
      <w:tr w:rsidR="00E1489F" w:rsidRPr="00872BA1" w:rsidTr="004D5CB2">
        <w:trPr>
          <w:trHeight w:val="1271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E1489F" w:rsidRPr="00647832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1489F" w:rsidRPr="001F77D4" w:rsidRDefault="00E1489F" w:rsidP="001F77D4">
            <w:pPr>
              <w:spacing w:line="18" w:lineRule="atLeast"/>
              <w:ind w:left="6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073BD0">
        <w:trPr>
          <w:trHeight w:val="58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257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E1489F" w:rsidRPr="001F77D4" w:rsidRDefault="00E1489F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1489F" w:rsidRPr="00872BA1" w:rsidTr="004D5CB2">
        <w:trPr>
          <w:trHeight w:val="383"/>
        </w:trPr>
        <w:tc>
          <w:tcPr>
            <w:tcW w:w="16018" w:type="dxa"/>
            <w:gridSpan w:val="5"/>
          </w:tcPr>
          <w:p w:rsidR="00E1489F" w:rsidRPr="00872BA1" w:rsidRDefault="00E1489F" w:rsidP="00E1489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E1489F" w:rsidRPr="00872BA1" w:rsidTr="004D5CB2">
        <w:trPr>
          <w:trHeight w:val="383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E1489F" w:rsidRPr="001F77D4" w:rsidRDefault="00E1489F" w:rsidP="00E1489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334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E1489F" w:rsidRPr="001F77D4" w:rsidRDefault="00E1489F" w:rsidP="00E1489F">
            <w:pPr>
              <w:spacing w:line="18" w:lineRule="atLeast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Федеральный закон от 07.02.2011 г.  № 6-ФЗ</w:t>
            </w:r>
          </w:p>
        </w:tc>
      </w:tr>
      <w:tr w:rsidR="00E1489F" w:rsidRPr="00872BA1" w:rsidTr="004D5CB2">
        <w:trPr>
          <w:trHeight w:val="1599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843" w:type="dxa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E1489F" w:rsidRPr="001F77D4" w:rsidRDefault="00E1489F" w:rsidP="00E1489F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1F77D4">
              <w:rPr>
                <w:b w:val="0"/>
                <w:sz w:val="22"/>
                <w:szCs w:val="22"/>
              </w:rPr>
              <w:t>Кодекс РФ об административных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E1489F" w:rsidRPr="00872BA1" w:rsidTr="004D5CB2">
        <w:trPr>
          <w:trHeight w:val="334"/>
        </w:trPr>
        <w:tc>
          <w:tcPr>
            <w:tcW w:w="568" w:type="dxa"/>
          </w:tcPr>
          <w:p w:rsidR="00E1489F" w:rsidRPr="001F77D4" w:rsidRDefault="00E1489F" w:rsidP="001F77D4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E1489F" w:rsidRPr="001F77D4" w:rsidRDefault="00E1489F" w:rsidP="00E1489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E1489F" w:rsidRPr="001F77D4" w:rsidRDefault="00E1489F" w:rsidP="00E1489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296"/>
        </w:trPr>
        <w:tc>
          <w:tcPr>
            <w:tcW w:w="16018" w:type="dxa"/>
            <w:gridSpan w:val="5"/>
          </w:tcPr>
          <w:p w:rsidR="00E1489F" w:rsidRPr="00872BA1" w:rsidRDefault="00E1489F" w:rsidP="00E1489F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E1489F" w:rsidRPr="00872BA1" w:rsidTr="004D5CB2"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682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году и годового отчета о деятельности Счетной палаты в Думу Чукотского автономного округа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468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494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730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E1489F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183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E1489F" w:rsidRPr="00872BA1" w:rsidRDefault="00E1489F" w:rsidP="00E1489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710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E1489F" w:rsidRPr="001F77D4" w:rsidRDefault="00E1489F" w:rsidP="001F77D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710"/>
        </w:trPr>
        <w:tc>
          <w:tcPr>
            <w:tcW w:w="568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>
              <w:t>Внедрение программного комплекса «</w:t>
            </w:r>
            <w:proofErr w:type="spellStart"/>
            <w:r>
              <w:t>Финконтроль</w:t>
            </w:r>
            <w:proofErr w:type="spellEnd"/>
            <w:r>
              <w:t xml:space="preserve">-СМАРТ» для автоматизации комплекса контрольных процедур на всех этапах осуществления ГФК  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733"/>
        </w:trPr>
        <w:tc>
          <w:tcPr>
            <w:tcW w:w="568" w:type="dxa"/>
          </w:tcPr>
          <w:p w:rsidR="00E1489F" w:rsidRPr="001F77D4" w:rsidRDefault="00E1489F" w:rsidP="00E1489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>
              <w:t>Комплекс подготовительных мероприятий для подключения к государственным информационным системам главных администраторов бюджетных средств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E1489F" w:rsidRPr="001F77D4" w:rsidRDefault="00E1489F" w:rsidP="001F77D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733"/>
        </w:trPr>
        <w:tc>
          <w:tcPr>
            <w:tcW w:w="568" w:type="dxa"/>
          </w:tcPr>
          <w:p w:rsidR="00E1489F" w:rsidRPr="001F77D4" w:rsidRDefault="00E1489F" w:rsidP="00E1489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c>
          <w:tcPr>
            <w:tcW w:w="568" w:type="dxa"/>
          </w:tcPr>
          <w:p w:rsidR="00E1489F" w:rsidRPr="001F77D4" w:rsidRDefault="00E1489F" w:rsidP="00E1489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5.13.</w:t>
            </w:r>
          </w:p>
        </w:tc>
        <w:tc>
          <w:tcPr>
            <w:tcW w:w="9355" w:type="dxa"/>
          </w:tcPr>
          <w:p w:rsidR="00E1489F" w:rsidRPr="00872BA1" w:rsidRDefault="00E1489F" w:rsidP="00E1489F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E1489F" w:rsidRPr="00872BA1" w:rsidRDefault="00E1489F" w:rsidP="00E1489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E1489F" w:rsidRPr="00872BA1" w:rsidTr="004D5CB2">
        <w:trPr>
          <w:trHeight w:val="283"/>
        </w:trPr>
        <w:tc>
          <w:tcPr>
            <w:tcW w:w="568" w:type="dxa"/>
          </w:tcPr>
          <w:p w:rsidR="00E1489F" w:rsidRPr="001F77D4" w:rsidRDefault="00E1489F" w:rsidP="00E1489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5.14.</w:t>
            </w:r>
          </w:p>
        </w:tc>
        <w:tc>
          <w:tcPr>
            <w:tcW w:w="9355" w:type="dxa"/>
          </w:tcPr>
          <w:p w:rsidR="00E1489F" w:rsidRDefault="00E1489F" w:rsidP="00E1489F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E1489F" w:rsidRPr="00E743BD" w:rsidRDefault="00E1489F" w:rsidP="00E1489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E1489F" w:rsidRPr="001F77D4" w:rsidRDefault="00E1489F" w:rsidP="001F77D4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E1489F" w:rsidRPr="001F77D4" w:rsidRDefault="00E1489F" w:rsidP="001F77D4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E1489F" w:rsidRPr="00872BA1" w:rsidRDefault="00E1489F" w:rsidP="00E1489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0D" w:rsidRDefault="00116E0D">
      <w:r>
        <w:separator/>
      </w:r>
    </w:p>
  </w:endnote>
  <w:endnote w:type="continuationSeparator" w:id="0">
    <w:p w:rsidR="00116E0D" w:rsidRDefault="001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0D" w:rsidRDefault="00116E0D">
      <w:r>
        <w:separator/>
      </w:r>
    </w:p>
  </w:footnote>
  <w:footnote w:type="continuationSeparator" w:id="0">
    <w:p w:rsidR="00116E0D" w:rsidRDefault="0011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36B3C" w:rsidRPr="00836B3C">
      <w:t>2</w:t>
    </w:r>
    <w:r w:rsidR="001F77D4">
      <w:t>8</w:t>
    </w:r>
    <w:r>
      <w:t xml:space="preserve"> </w:t>
    </w:r>
    <w:r w:rsidRPr="00665436">
      <w:t>декабря 20</w:t>
    </w:r>
    <w:r w:rsidR="004E3023">
      <w:t>2</w:t>
    </w:r>
    <w:r w:rsidR="00647832">
      <w:t>1</w:t>
    </w:r>
    <w:r>
      <w:t xml:space="preserve"> года №</w:t>
    </w:r>
    <w:r w:rsidR="00836B3C">
      <w:t>32</w:t>
    </w:r>
    <w:r w:rsidR="00FA1C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DCD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36B3C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A697-D5CD-4DE6-98E5-55C839A0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1654</Words>
  <Characters>12089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10</cp:revision>
  <cp:lastPrinted>2022-01-25T22:32:00Z</cp:lastPrinted>
  <dcterms:created xsi:type="dcterms:W3CDTF">2022-01-26T00:06:00Z</dcterms:created>
  <dcterms:modified xsi:type="dcterms:W3CDTF">2022-01-26T00:39:00Z</dcterms:modified>
</cp:coreProperties>
</file>