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47" w:rsidRDefault="00454E47" w:rsidP="002820D8">
      <w:pPr>
        <w:pStyle w:val="a6"/>
        <w:spacing w:line="216" w:lineRule="auto"/>
        <w:ind w:left="0" w:right="27"/>
        <w:rPr>
          <w:caps w:val="0"/>
          <w:szCs w:val="28"/>
        </w:rPr>
      </w:pPr>
    </w:p>
    <w:p w:rsidR="002820D8" w:rsidRPr="0066243D" w:rsidRDefault="002820D8" w:rsidP="002820D8">
      <w:pPr>
        <w:pStyle w:val="a6"/>
        <w:spacing w:line="216" w:lineRule="auto"/>
        <w:ind w:left="0" w:right="27"/>
        <w:rPr>
          <w:caps w:val="0"/>
          <w:szCs w:val="28"/>
        </w:rPr>
      </w:pPr>
      <w:r w:rsidRPr="0066243D">
        <w:rPr>
          <w:caps w:val="0"/>
          <w:szCs w:val="28"/>
        </w:rPr>
        <w:t xml:space="preserve">Информация о результатах </w:t>
      </w:r>
      <w:r w:rsidR="004A124C" w:rsidRPr="0066243D">
        <w:rPr>
          <w:caps w:val="0"/>
          <w:szCs w:val="28"/>
        </w:rPr>
        <w:t>экспертно-аналитического</w:t>
      </w:r>
      <w:r w:rsidRPr="0066243D">
        <w:rPr>
          <w:caps w:val="0"/>
          <w:szCs w:val="28"/>
        </w:rPr>
        <w:t xml:space="preserve"> мероприятия</w:t>
      </w:r>
      <w:r w:rsidRPr="0066243D">
        <w:rPr>
          <w:szCs w:val="28"/>
        </w:rPr>
        <w:t xml:space="preserve"> </w:t>
      </w:r>
    </w:p>
    <w:p w:rsidR="002820D8" w:rsidRPr="0066243D" w:rsidRDefault="000A7B03" w:rsidP="004F680D">
      <w:pPr>
        <w:spacing w:after="12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3D">
        <w:rPr>
          <w:rFonts w:ascii="Times New Roman" w:hAnsi="Times New Roman" w:cs="Times New Roman"/>
          <w:b/>
          <w:sz w:val="28"/>
          <w:szCs w:val="28"/>
        </w:rPr>
        <w:t>«Э</w:t>
      </w:r>
      <w:r w:rsidRPr="006624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кспертиза проекта </w:t>
      </w:r>
      <w:r w:rsidR="005C50FE" w:rsidRPr="0066243D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66243D">
        <w:rPr>
          <w:rFonts w:ascii="Times New Roman" w:hAnsi="Times New Roman" w:cs="Times New Roman"/>
          <w:b/>
          <w:color w:val="000000"/>
          <w:sz w:val="28"/>
          <w:szCs w:val="28"/>
        </w:rPr>
        <w:t>акона Чукотского автономного округа «Об </w:t>
      </w:r>
      <w:r w:rsidR="0066243D" w:rsidRPr="0066243D">
        <w:rPr>
          <w:rFonts w:ascii="Times New Roman" w:hAnsi="Times New Roman" w:cs="Times New Roman"/>
          <w:b/>
          <w:color w:val="000000"/>
          <w:sz w:val="28"/>
          <w:szCs w:val="28"/>
        </w:rPr>
        <w:t>окружном бюджете на 2021 год и на плановый период 2022 и 2023</w:t>
      </w:r>
      <w:r w:rsidRPr="006624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годов» </w:t>
      </w:r>
    </w:p>
    <w:p w:rsidR="00B15F59" w:rsidRPr="0066243D" w:rsidRDefault="009010B8" w:rsidP="004F680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43D">
        <w:rPr>
          <w:rFonts w:ascii="Times New Roman" w:hAnsi="Times New Roman" w:cs="Times New Roman"/>
          <w:sz w:val="28"/>
          <w:szCs w:val="28"/>
        </w:rPr>
        <w:t>Счетной палатой Чукотского автономного округа</w:t>
      </w:r>
      <w:r w:rsidR="00056344" w:rsidRPr="0066243D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B15F59" w:rsidRPr="0066243D">
        <w:rPr>
          <w:rFonts w:ascii="Times New Roman" w:hAnsi="Times New Roman" w:cs="Times New Roman"/>
          <w:sz w:val="28"/>
          <w:szCs w:val="28"/>
        </w:rPr>
        <w:t>З</w:t>
      </w:r>
      <w:r w:rsidR="00056344" w:rsidRPr="0066243D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B15F59" w:rsidRPr="0066243D"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5C50FE" w:rsidRPr="0066243D">
        <w:rPr>
          <w:rFonts w:ascii="Times New Roman" w:hAnsi="Times New Roman" w:cs="Times New Roman"/>
          <w:sz w:val="28"/>
          <w:szCs w:val="28"/>
        </w:rPr>
        <w:t>з</w:t>
      </w:r>
      <w:r w:rsidR="00B15F59" w:rsidRPr="0066243D">
        <w:rPr>
          <w:rFonts w:ascii="Times New Roman" w:hAnsi="Times New Roman" w:cs="Times New Roman"/>
          <w:color w:val="000000"/>
          <w:sz w:val="28"/>
          <w:szCs w:val="28"/>
        </w:rPr>
        <w:t>акона Чукотского автономного округа «Об окружном бюджете Чукотского автономного округа на 20</w:t>
      </w:r>
      <w:r w:rsidR="0066243D" w:rsidRPr="0066243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B15F59" w:rsidRPr="0066243D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66243D" w:rsidRPr="0066243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15F59" w:rsidRPr="0066243D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66243D" w:rsidRPr="0066243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15F59" w:rsidRPr="0066243D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B15F59" w:rsidRPr="0066243D">
        <w:rPr>
          <w:rFonts w:ascii="Times New Roman" w:hAnsi="Times New Roman" w:cs="Times New Roman"/>
          <w:sz w:val="28"/>
          <w:szCs w:val="28"/>
        </w:rPr>
        <w:t>»</w:t>
      </w:r>
      <w:r w:rsidR="00B15F59" w:rsidRPr="006624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6243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Законопроект)</w:t>
      </w:r>
      <w:r w:rsidR="00B15F59" w:rsidRPr="006624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5F59" w:rsidRPr="0066243D" w:rsidRDefault="00B15F59" w:rsidP="004F680D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243D">
        <w:rPr>
          <w:sz w:val="28"/>
          <w:szCs w:val="28"/>
        </w:rPr>
        <w:t>Общий объем д</w:t>
      </w:r>
      <w:r w:rsidR="0066243D" w:rsidRPr="0066243D">
        <w:rPr>
          <w:sz w:val="28"/>
          <w:szCs w:val="28"/>
        </w:rPr>
        <w:t>оходов окружного бюджета на 2021</w:t>
      </w:r>
      <w:r w:rsidRPr="0066243D">
        <w:rPr>
          <w:sz w:val="28"/>
          <w:szCs w:val="28"/>
        </w:rPr>
        <w:t xml:space="preserve"> год прогнозируется в</w:t>
      </w:r>
      <w:r w:rsidR="00FB62DC" w:rsidRPr="0066243D">
        <w:rPr>
          <w:sz w:val="28"/>
          <w:szCs w:val="28"/>
        </w:rPr>
        <w:t> </w:t>
      </w:r>
      <w:r w:rsidR="009A33D6">
        <w:rPr>
          <w:sz w:val="28"/>
          <w:szCs w:val="28"/>
        </w:rPr>
        <w:t>размере 49 212 282,8 тыс. рублей, что на 10</w:t>
      </w:r>
      <w:r w:rsidR="0066243D" w:rsidRPr="0066243D">
        <w:rPr>
          <w:sz w:val="28"/>
          <w:szCs w:val="28"/>
        </w:rPr>
        <w:t>,8</w:t>
      </w:r>
      <w:r w:rsidR="004B2DBB" w:rsidRPr="0066243D">
        <w:rPr>
          <w:sz w:val="28"/>
          <w:szCs w:val="28"/>
        </w:rPr>
        <w:t>% меньше</w:t>
      </w:r>
      <w:r w:rsidR="0066243D" w:rsidRPr="0066243D">
        <w:rPr>
          <w:sz w:val="28"/>
          <w:szCs w:val="28"/>
        </w:rPr>
        <w:t xml:space="preserve"> аналогичных назначений 2020 года. На 2022 и 2023</w:t>
      </w:r>
      <w:r w:rsidR="004B2DBB" w:rsidRPr="0066243D">
        <w:rPr>
          <w:sz w:val="28"/>
          <w:szCs w:val="28"/>
        </w:rPr>
        <w:t xml:space="preserve"> годы </w:t>
      </w:r>
      <w:r w:rsidR="009A33D6">
        <w:rPr>
          <w:sz w:val="28"/>
          <w:szCs w:val="28"/>
        </w:rPr>
        <w:t>38 378 570,8</w:t>
      </w:r>
      <w:r w:rsidR="0066243D" w:rsidRPr="0066243D">
        <w:rPr>
          <w:sz w:val="28"/>
          <w:szCs w:val="28"/>
        </w:rPr>
        <w:t>,8</w:t>
      </w:r>
      <w:r w:rsidR="0066243D">
        <w:rPr>
          <w:sz w:val="28"/>
          <w:szCs w:val="28"/>
        </w:rPr>
        <w:t> тыс</w:t>
      </w:r>
      <w:r w:rsidR="004B2DBB" w:rsidRPr="0066243D">
        <w:rPr>
          <w:sz w:val="28"/>
          <w:szCs w:val="28"/>
        </w:rPr>
        <w:t xml:space="preserve">. рублей и </w:t>
      </w:r>
      <w:r w:rsidR="009A33D6">
        <w:rPr>
          <w:sz w:val="28"/>
          <w:szCs w:val="28"/>
        </w:rPr>
        <w:t>38 341 525,6</w:t>
      </w:r>
      <w:r w:rsidR="0066243D">
        <w:rPr>
          <w:sz w:val="28"/>
          <w:szCs w:val="28"/>
        </w:rPr>
        <w:t> тыс</w:t>
      </w:r>
      <w:r w:rsidRPr="0066243D">
        <w:rPr>
          <w:sz w:val="28"/>
          <w:szCs w:val="28"/>
        </w:rPr>
        <w:t xml:space="preserve">. рублей соответственно. </w:t>
      </w:r>
    </w:p>
    <w:p w:rsidR="00B15F59" w:rsidRPr="00DA263D" w:rsidRDefault="00B15F59" w:rsidP="004F680D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63D">
        <w:rPr>
          <w:rStyle w:val="af3"/>
          <w:b w:val="0"/>
          <w:sz w:val="28"/>
          <w:szCs w:val="28"/>
        </w:rPr>
        <w:t>Общий объем расходов</w:t>
      </w:r>
      <w:r w:rsidRPr="00DA263D">
        <w:rPr>
          <w:rStyle w:val="af3"/>
          <w:sz w:val="28"/>
          <w:szCs w:val="28"/>
        </w:rPr>
        <w:t xml:space="preserve"> </w:t>
      </w:r>
      <w:r w:rsidR="0066243D" w:rsidRPr="00DA263D">
        <w:rPr>
          <w:sz w:val="28"/>
          <w:szCs w:val="28"/>
        </w:rPr>
        <w:t>окружного бюджета на 2021</w:t>
      </w:r>
      <w:r w:rsidRPr="00DA263D">
        <w:rPr>
          <w:sz w:val="28"/>
          <w:szCs w:val="28"/>
        </w:rPr>
        <w:t xml:space="preserve"> год определен на</w:t>
      </w:r>
      <w:r w:rsidR="00FB62DC" w:rsidRPr="00DA263D">
        <w:rPr>
          <w:sz w:val="28"/>
          <w:szCs w:val="28"/>
        </w:rPr>
        <w:t> </w:t>
      </w:r>
      <w:r w:rsidR="009A33D6">
        <w:rPr>
          <w:sz w:val="28"/>
          <w:szCs w:val="28"/>
        </w:rPr>
        <w:t>уровне 49 458 049,8</w:t>
      </w:r>
      <w:r w:rsidR="0066243D" w:rsidRPr="00DA263D">
        <w:rPr>
          <w:sz w:val="28"/>
          <w:szCs w:val="28"/>
        </w:rPr>
        <w:t xml:space="preserve"> тыс</w:t>
      </w:r>
      <w:r w:rsidRPr="00DA263D">
        <w:rPr>
          <w:sz w:val="28"/>
          <w:szCs w:val="28"/>
        </w:rPr>
        <w:t xml:space="preserve">. рублей, </w:t>
      </w:r>
      <w:r w:rsidR="009A33D6">
        <w:rPr>
          <w:sz w:val="28"/>
          <w:szCs w:val="28"/>
        </w:rPr>
        <w:t>что на 10</w:t>
      </w:r>
      <w:r w:rsidR="0066243D" w:rsidRPr="00DA263D">
        <w:rPr>
          <w:sz w:val="28"/>
          <w:szCs w:val="28"/>
        </w:rPr>
        <w:t>,8%</w:t>
      </w:r>
      <w:r w:rsidR="00DA263D" w:rsidRPr="00DA263D">
        <w:rPr>
          <w:sz w:val="28"/>
          <w:szCs w:val="28"/>
        </w:rPr>
        <w:t xml:space="preserve"> меньше</w:t>
      </w:r>
      <w:r w:rsidR="0066243D" w:rsidRPr="00DA263D">
        <w:rPr>
          <w:sz w:val="28"/>
          <w:szCs w:val="28"/>
        </w:rPr>
        <w:t xml:space="preserve"> утвержденных ассигнований 2020 года</w:t>
      </w:r>
      <w:r w:rsidR="00DA263D" w:rsidRPr="00DA263D">
        <w:rPr>
          <w:sz w:val="28"/>
          <w:szCs w:val="28"/>
        </w:rPr>
        <w:t>. На 2022</w:t>
      </w:r>
      <w:r w:rsidRPr="00DA263D">
        <w:rPr>
          <w:sz w:val="28"/>
          <w:szCs w:val="28"/>
        </w:rPr>
        <w:t xml:space="preserve"> год расходы</w:t>
      </w:r>
      <w:r w:rsidR="00DA263D" w:rsidRPr="00DA263D">
        <w:rPr>
          <w:sz w:val="28"/>
          <w:szCs w:val="28"/>
        </w:rPr>
        <w:t xml:space="preserve"> про</w:t>
      </w:r>
      <w:r w:rsidR="009A33D6">
        <w:rPr>
          <w:sz w:val="28"/>
          <w:szCs w:val="28"/>
        </w:rPr>
        <w:t>гнозируются в сумме 37 947 440,6</w:t>
      </w:r>
      <w:r w:rsidR="00DA263D" w:rsidRPr="00DA263D">
        <w:rPr>
          <w:sz w:val="28"/>
          <w:szCs w:val="28"/>
        </w:rPr>
        <w:t xml:space="preserve"> тыс. рублей, на 2023</w:t>
      </w:r>
      <w:r w:rsidR="009A33D6">
        <w:rPr>
          <w:sz w:val="28"/>
          <w:szCs w:val="28"/>
        </w:rPr>
        <w:t xml:space="preserve"> год – 37 874 895,4</w:t>
      </w:r>
      <w:r w:rsidR="004B2DBB" w:rsidRPr="00DA263D">
        <w:rPr>
          <w:sz w:val="28"/>
          <w:szCs w:val="28"/>
        </w:rPr>
        <w:t xml:space="preserve"> </w:t>
      </w:r>
      <w:r w:rsidR="00DA263D" w:rsidRPr="00DA263D">
        <w:rPr>
          <w:sz w:val="28"/>
          <w:szCs w:val="28"/>
        </w:rPr>
        <w:t>тыс</w:t>
      </w:r>
      <w:r w:rsidRPr="00DA263D">
        <w:rPr>
          <w:sz w:val="28"/>
          <w:szCs w:val="28"/>
        </w:rPr>
        <w:t>. рублей.</w:t>
      </w:r>
    </w:p>
    <w:p w:rsidR="00B15F59" w:rsidRPr="00DA263D" w:rsidRDefault="009010B8" w:rsidP="004F680D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63D">
        <w:rPr>
          <w:sz w:val="28"/>
          <w:szCs w:val="28"/>
        </w:rPr>
        <w:t xml:space="preserve">Расходная часть окружного бюджета сформирована с учетом собственных доходов и </w:t>
      </w:r>
      <w:r w:rsidR="00B15F59" w:rsidRPr="00DA263D">
        <w:rPr>
          <w:sz w:val="28"/>
          <w:szCs w:val="28"/>
        </w:rPr>
        <w:t>межбюджетных трансфертов из</w:t>
      </w:r>
      <w:r w:rsidR="00E0323B" w:rsidRPr="00DA263D">
        <w:rPr>
          <w:sz w:val="28"/>
          <w:szCs w:val="28"/>
        </w:rPr>
        <w:t> </w:t>
      </w:r>
      <w:r w:rsidR="00B15F59" w:rsidRPr="00DA263D">
        <w:rPr>
          <w:sz w:val="28"/>
          <w:szCs w:val="28"/>
        </w:rPr>
        <w:t>федерального бюджета</w:t>
      </w:r>
      <w:r w:rsidR="00C61DC4" w:rsidRPr="00DA263D">
        <w:rPr>
          <w:sz w:val="28"/>
          <w:szCs w:val="28"/>
        </w:rPr>
        <w:t xml:space="preserve"> и в </w:t>
      </w:r>
      <w:r w:rsidRPr="00DA263D">
        <w:rPr>
          <w:sz w:val="28"/>
          <w:szCs w:val="28"/>
        </w:rPr>
        <w:t>полной мере обеспечивает расходные обязательства Чукотского автономного округа.</w:t>
      </w:r>
    </w:p>
    <w:p w:rsidR="00B15F59" w:rsidRPr="00DA263D" w:rsidRDefault="00C54C62" w:rsidP="004F680D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</w:t>
      </w:r>
      <w:r w:rsidR="00B15F59" w:rsidRPr="00DA263D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окружного бюджета сформирована</w:t>
      </w:r>
      <w:r w:rsidR="00B15F59" w:rsidRPr="00DA263D">
        <w:rPr>
          <w:sz w:val="28"/>
          <w:szCs w:val="28"/>
        </w:rPr>
        <w:t xml:space="preserve"> по программно-целевому принципу на основе 1</w:t>
      </w:r>
      <w:r w:rsidR="00E0323B" w:rsidRPr="00DA263D">
        <w:rPr>
          <w:sz w:val="28"/>
          <w:szCs w:val="28"/>
        </w:rPr>
        <w:t>8</w:t>
      </w:r>
      <w:r w:rsidR="00B15F59" w:rsidRPr="00DA263D">
        <w:rPr>
          <w:sz w:val="28"/>
          <w:szCs w:val="28"/>
        </w:rPr>
        <w:t xml:space="preserve">-ти государственных программ. Бюджетные ресурсы сконцентрированы на выполнение действующих расходных обязательств, сохранение их социальной составляющей, </w:t>
      </w:r>
      <w:r w:rsidR="00C423DF">
        <w:rPr>
          <w:sz w:val="28"/>
          <w:szCs w:val="28"/>
        </w:rPr>
        <w:t>а также на финансирование 33 </w:t>
      </w:r>
      <w:r w:rsidR="00A31F36">
        <w:rPr>
          <w:sz w:val="28"/>
          <w:szCs w:val="28"/>
        </w:rPr>
        <w:t xml:space="preserve">региональных проектов. Бюджетные ассигнования на осуществление непрограммных направлений предусмотрены по 7 направлениям деятельности </w:t>
      </w:r>
    </w:p>
    <w:p w:rsidR="00B15F59" w:rsidRPr="00DA263D" w:rsidRDefault="00B15F59" w:rsidP="004F68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263D">
        <w:rPr>
          <w:rFonts w:ascii="Times New Roman" w:hAnsi="Times New Roman" w:cs="Times New Roman"/>
          <w:spacing w:val="-6"/>
          <w:sz w:val="28"/>
          <w:szCs w:val="28"/>
        </w:rPr>
        <w:t xml:space="preserve">Бюджетные инвестиции </w:t>
      </w:r>
      <w:r w:rsidR="00DA263D" w:rsidRPr="00DA263D">
        <w:rPr>
          <w:rFonts w:ascii="Times New Roman" w:eastAsia="Calibri" w:hAnsi="Times New Roman" w:cs="Times New Roman"/>
          <w:spacing w:val="-6"/>
          <w:sz w:val="28"/>
          <w:szCs w:val="28"/>
        </w:rPr>
        <w:t>в 2021-2023</w:t>
      </w:r>
      <w:r w:rsidR="00C54C6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годах составляют треть </w:t>
      </w:r>
      <w:r w:rsidRPr="00DA263D">
        <w:rPr>
          <w:rFonts w:ascii="Times New Roman" w:eastAsia="Calibri" w:hAnsi="Times New Roman" w:cs="Times New Roman"/>
          <w:spacing w:val="-6"/>
          <w:sz w:val="28"/>
          <w:szCs w:val="28"/>
        </w:rPr>
        <w:t>общего объема расходов, основная часть инвестиций реализуется в рамках государственных программ</w:t>
      </w:r>
      <w:r w:rsidR="009010B8" w:rsidRPr="00DA263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Чукотского автономного </w:t>
      </w:r>
      <w:r w:rsidRPr="00DA263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округа, преимущественно – на </w:t>
      </w:r>
      <w:r w:rsidRPr="00DA263D">
        <w:rPr>
          <w:rFonts w:ascii="Times New Roman" w:hAnsi="Times New Roman" w:cs="Times New Roman"/>
          <w:spacing w:val="-6"/>
          <w:sz w:val="28"/>
          <w:szCs w:val="28"/>
        </w:rPr>
        <w:t xml:space="preserve">развитие </w:t>
      </w:r>
      <w:r w:rsidRPr="00DA263D">
        <w:rPr>
          <w:rFonts w:ascii="Times New Roman" w:hAnsi="Times New Roman"/>
          <w:sz w:val="28"/>
          <w:szCs w:val="28"/>
        </w:rPr>
        <w:t xml:space="preserve">топливно-энергетического, жилищно-коммунального и агропромышленного комплексов, здравоохранения, </w:t>
      </w:r>
      <w:r w:rsidRPr="00DA263D">
        <w:rPr>
          <w:rFonts w:ascii="Times New Roman" w:hAnsi="Times New Roman" w:cs="Times New Roman"/>
          <w:spacing w:val="-6"/>
          <w:sz w:val="28"/>
          <w:szCs w:val="28"/>
        </w:rPr>
        <w:t>транспортной и социальной инфраструктуры</w:t>
      </w:r>
      <w:r w:rsidRPr="00DA263D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B15F59" w:rsidRPr="00DA263D" w:rsidRDefault="00403560" w:rsidP="004F68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263D">
        <w:rPr>
          <w:rFonts w:ascii="Times New Roman" w:hAnsi="Times New Roman" w:cs="Times New Roman"/>
          <w:sz w:val="28"/>
          <w:szCs w:val="28"/>
        </w:rPr>
        <w:t>Проект окр</w:t>
      </w:r>
      <w:r w:rsidR="00DA263D" w:rsidRPr="00DA263D">
        <w:rPr>
          <w:rFonts w:ascii="Times New Roman" w:hAnsi="Times New Roman" w:cs="Times New Roman"/>
          <w:sz w:val="28"/>
          <w:szCs w:val="28"/>
        </w:rPr>
        <w:t>ужного бюджета на 2021 год является дефицитным</w:t>
      </w:r>
      <w:r w:rsidR="009A33D6">
        <w:rPr>
          <w:rFonts w:ascii="Times New Roman" w:hAnsi="Times New Roman" w:cs="Times New Roman"/>
          <w:sz w:val="28"/>
          <w:szCs w:val="28"/>
        </w:rPr>
        <w:t xml:space="preserve"> (245 767,0 тыс. рублей)</w:t>
      </w:r>
      <w:r w:rsidR="00DA263D" w:rsidRPr="00DA263D">
        <w:rPr>
          <w:rFonts w:ascii="Times New Roman" w:hAnsi="Times New Roman" w:cs="Times New Roman"/>
          <w:sz w:val="28"/>
          <w:szCs w:val="28"/>
        </w:rPr>
        <w:t xml:space="preserve">, на плановый период 2022 и 2023 годов прогнозируется </w:t>
      </w:r>
      <w:proofErr w:type="spellStart"/>
      <w:r w:rsidR="00DA263D" w:rsidRPr="00DA263D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DA263D" w:rsidRPr="00DA263D">
        <w:rPr>
          <w:rFonts w:ascii="Times New Roman" w:hAnsi="Times New Roman" w:cs="Times New Roman"/>
          <w:sz w:val="28"/>
          <w:szCs w:val="28"/>
        </w:rPr>
        <w:t xml:space="preserve"> в сумме 4</w:t>
      </w:r>
      <w:r w:rsidR="00784820">
        <w:rPr>
          <w:rFonts w:ascii="Times New Roman" w:hAnsi="Times New Roman" w:cs="Times New Roman"/>
          <w:sz w:val="28"/>
          <w:szCs w:val="28"/>
        </w:rPr>
        <w:t>31 130,2 тыс. рублей и 493 630,2</w:t>
      </w:r>
      <w:r w:rsidR="00DA263D" w:rsidRPr="00DA263D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B15F59" w:rsidRPr="00DA263D">
        <w:rPr>
          <w:rFonts w:ascii="Times New Roman" w:hAnsi="Times New Roman"/>
          <w:sz w:val="28"/>
          <w:szCs w:val="28"/>
        </w:rPr>
        <w:t>.</w:t>
      </w:r>
    </w:p>
    <w:p w:rsidR="00B15F59" w:rsidRPr="00903FE1" w:rsidRDefault="00B15F59" w:rsidP="004F6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E1">
        <w:rPr>
          <w:rFonts w:ascii="Times New Roman" w:hAnsi="Times New Roman" w:cs="Times New Roman"/>
          <w:sz w:val="28"/>
          <w:szCs w:val="28"/>
        </w:rPr>
        <w:t>В представленном Заключении отмечен ряд замечаний к Законопроекту и</w:t>
      </w:r>
      <w:r w:rsidR="005B27CB" w:rsidRPr="00903FE1">
        <w:rPr>
          <w:rFonts w:ascii="Times New Roman" w:hAnsi="Times New Roman" w:cs="Times New Roman"/>
          <w:sz w:val="28"/>
          <w:szCs w:val="28"/>
        </w:rPr>
        <w:t xml:space="preserve"> </w:t>
      </w:r>
      <w:r w:rsidRPr="00903FE1">
        <w:rPr>
          <w:rFonts w:ascii="Times New Roman" w:hAnsi="Times New Roman" w:cs="Times New Roman"/>
          <w:sz w:val="28"/>
          <w:szCs w:val="28"/>
        </w:rPr>
        <w:t>предложения об их устранении.</w:t>
      </w:r>
    </w:p>
    <w:p w:rsidR="009010B8" w:rsidRPr="00903FE1" w:rsidRDefault="00A31F36" w:rsidP="004F6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E1">
        <w:rPr>
          <w:rFonts w:ascii="Times New Roman" w:hAnsi="Times New Roman" w:cs="Times New Roman"/>
          <w:sz w:val="28"/>
          <w:szCs w:val="28"/>
        </w:rPr>
        <w:t>Законопроект содержит все положения, предусмотре</w:t>
      </w:r>
      <w:r w:rsidR="00903FE1" w:rsidRPr="00903FE1">
        <w:rPr>
          <w:rFonts w:ascii="Times New Roman" w:hAnsi="Times New Roman" w:cs="Times New Roman"/>
          <w:sz w:val="28"/>
          <w:szCs w:val="28"/>
        </w:rPr>
        <w:t>нные федеральным и региональным бюджетным законодательством, и не противоречит его основным нормам.</w:t>
      </w:r>
    </w:p>
    <w:p w:rsidR="00B15F59" w:rsidRPr="00E0323B" w:rsidRDefault="00B15F59" w:rsidP="004F6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E1">
        <w:rPr>
          <w:rFonts w:ascii="Times New Roman" w:hAnsi="Times New Roman" w:cs="Times New Roman"/>
          <w:sz w:val="28"/>
          <w:szCs w:val="28"/>
        </w:rPr>
        <w:t xml:space="preserve">Заключение Счетной палаты Чукотского автономного округа на проект </w:t>
      </w:r>
      <w:r w:rsidR="00086F40" w:rsidRPr="00903FE1">
        <w:rPr>
          <w:rFonts w:ascii="Times New Roman" w:hAnsi="Times New Roman" w:cs="Times New Roman"/>
          <w:sz w:val="28"/>
          <w:szCs w:val="28"/>
        </w:rPr>
        <w:t>з</w:t>
      </w:r>
      <w:r w:rsidRPr="00903FE1">
        <w:rPr>
          <w:rFonts w:ascii="Times New Roman" w:hAnsi="Times New Roman" w:cs="Times New Roman"/>
          <w:sz w:val="28"/>
          <w:szCs w:val="28"/>
        </w:rPr>
        <w:t>акона об окружном бюджете на 20</w:t>
      </w:r>
      <w:r w:rsidR="00903FE1" w:rsidRPr="00903FE1">
        <w:rPr>
          <w:rFonts w:ascii="Times New Roman" w:hAnsi="Times New Roman" w:cs="Times New Roman"/>
          <w:sz w:val="28"/>
          <w:szCs w:val="28"/>
        </w:rPr>
        <w:t>21 год и на плановый период 2022</w:t>
      </w:r>
      <w:r w:rsidRPr="00903FE1">
        <w:rPr>
          <w:rFonts w:ascii="Times New Roman" w:hAnsi="Times New Roman" w:cs="Times New Roman"/>
          <w:sz w:val="28"/>
          <w:szCs w:val="28"/>
        </w:rPr>
        <w:t xml:space="preserve"> и 202</w:t>
      </w:r>
      <w:r w:rsidR="00903FE1" w:rsidRPr="00903FE1">
        <w:rPr>
          <w:rFonts w:ascii="Times New Roman" w:hAnsi="Times New Roman" w:cs="Times New Roman"/>
          <w:sz w:val="28"/>
          <w:szCs w:val="28"/>
        </w:rPr>
        <w:t>3</w:t>
      </w:r>
      <w:r w:rsidRPr="00903FE1">
        <w:rPr>
          <w:rFonts w:ascii="Times New Roman" w:hAnsi="Times New Roman" w:cs="Times New Roman"/>
          <w:sz w:val="28"/>
          <w:szCs w:val="28"/>
        </w:rPr>
        <w:t> годов направлено в Думу и Губернатору Чукотского автономного округа.</w:t>
      </w:r>
    </w:p>
    <w:sectPr w:rsidR="00B15F59" w:rsidRPr="00E0323B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213D3"/>
    <w:rsid w:val="00030582"/>
    <w:rsid w:val="00056344"/>
    <w:rsid w:val="00056352"/>
    <w:rsid w:val="00086F40"/>
    <w:rsid w:val="00091589"/>
    <w:rsid w:val="00092139"/>
    <w:rsid w:val="000955F9"/>
    <w:rsid w:val="000A7B03"/>
    <w:rsid w:val="000C4960"/>
    <w:rsid w:val="000D5E91"/>
    <w:rsid w:val="000E1DF4"/>
    <w:rsid w:val="001226E4"/>
    <w:rsid w:val="00134D70"/>
    <w:rsid w:val="0013606F"/>
    <w:rsid w:val="00146764"/>
    <w:rsid w:val="001524A5"/>
    <w:rsid w:val="00192350"/>
    <w:rsid w:val="001966C1"/>
    <w:rsid w:val="00197A68"/>
    <w:rsid w:val="001A1FEC"/>
    <w:rsid w:val="001A6579"/>
    <w:rsid w:val="001C4186"/>
    <w:rsid w:val="001E507D"/>
    <w:rsid w:val="001F3289"/>
    <w:rsid w:val="001F7D29"/>
    <w:rsid w:val="00202714"/>
    <w:rsid w:val="0022424E"/>
    <w:rsid w:val="00247DC2"/>
    <w:rsid w:val="00250111"/>
    <w:rsid w:val="00266D83"/>
    <w:rsid w:val="002820D8"/>
    <w:rsid w:val="00292532"/>
    <w:rsid w:val="002972AE"/>
    <w:rsid w:val="002A5968"/>
    <w:rsid w:val="002A68ED"/>
    <w:rsid w:val="002C2FF3"/>
    <w:rsid w:val="002D06F7"/>
    <w:rsid w:val="002E60A1"/>
    <w:rsid w:val="002E74AC"/>
    <w:rsid w:val="003400A4"/>
    <w:rsid w:val="00360A11"/>
    <w:rsid w:val="00372351"/>
    <w:rsid w:val="00374EA4"/>
    <w:rsid w:val="003B5D0D"/>
    <w:rsid w:val="003C7DB6"/>
    <w:rsid w:val="003E0F93"/>
    <w:rsid w:val="003F0373"/>
    <w:rsid w:val="00403560"/>
    <w:rsid w:val="00404853"/>
    <w:rsid w:val="00437277"/>
    <w:rsid w:val="004475A0"/>
    <w:rsid w:val="00454E47"/>
    <w:rsid w:val="004615C4"/>
    <w:rsid w:val="00461FA6"/>
    <w:rsid w:val="00473DA2"/>
    <w:rsid w:val="004754B1"/>
    <w:rsid w:val="004971C1"/>
    <w:rsid w:val="004A124C"/>
    <w:rsid w:val="004B2DBB"/>
    <w:rsid w:val="004E3CC5"/>
    <w:rsid w:val="004F680D"/>
    <w:rsid w:val="005048B3"/>
    <w:rsid w:val="005055AC"/>
    <w:rsid w:val="00555B2F"/>
    <w:rsid w:val="005623B7"/>
    <w:rsid w:val="00573DE0"/>
    <w:rsid w:val="005930D3"/>
    <w:rsid w:val="005A1B01"/>
    <w:rsid w:val="005B27CB"/>
    <w:rsid w:val="005B37BB"/>
    <w:rsid w:val="005C50FE"/>
    <w:rsid w:val="005C7234"/>
    <w:rsid w:val="005C7D44"/>
    <w:rsid w:val="005E0D32"/>
    <w:rsid w:val="005E7A66"/>
    <w:rsid w:val="00624EA9"/>
    <w:rsid w:val="0064280D"/>
    <w:rsid w:val="0066243D"/>
    <w:rsid w:val="00677E1F"/>
    <w:rsid w:val="00686747"/>
    <w:rsid w:val="006945A0"/>
    <w:rsid w:val="00697135"/>
    <w:rsid w:val="006A19A3"/>
    <w:rsid w:val="006B19A8"/>
    <w:rsid w:val="006C1AF9"/>
    <w:rsid w:val="006C655D"/>
    <w:rsid w:val="006E2248"/>
    <w:rsid w:val="006E5A72"/>
    <w:rsid w:val="007047C0"/>
    <w:rsid w:val="00723220"/>
    <w:rsid w:val="0075449E"/>
    <w:rsid w:val="00760D52"/>
    <w:rsid w:val="0077319C"/>
    <w:rsid w:val="00784820"/>
    <w:rsid w:val="007C1F3E"/>
    <w:rsid w:val="007D5683"/>
    <w:rsid w:val="007E49D4"/>
    <w:rsid w:val="007E5A82"/>
    <w:rsid w:val="007F4506"/>
    <w:rsid w:val="008118C8"/>
    <w:rsid w:val="00833B73"/>
    <w:rsid w:val="00864E61"/>
    <w:rsid w:val="0087250F"/>
    <w:rsid w:val="008C462D"/>
    <w:rsid w:val="008D6C08"/>
    <w:rsid w:val="008E0F28"/>
    <w:rsid w:val="008E7899"/>
    <w:rsid w:val="008F63CC"/>
    <w:rsid w:val="009010B8"/>
    <w:rsid w:val="00903FE1"/>
    <w:rsid w:val="00904CD0"/>
    <w:rsid w:val="00947A8A"/>
    <w:rsid w:val="009530DA"/>
    <w:rsid w:val="00977066"/>
    <w:rsid w:val="00983767"/>
    <w:rsid w:val="009A33D6"/>
    <w:rsid w:val="00A10EC1"/>
    <w:rsid w:val="00A20137"/>
    <w:rsid w:val="00A20776"/>
    <w:rsid w:val="00A31F36"/>
    <w:rsid w:val="00A33A0C"/>
    <w:rsid w:val="00A378AB"/>
    <w:rsid w:val="00A435E1"/>
    <w:rsid w:val="00A63FFA"/>
    <w:rsid w:val="00A80E1C"/>
    <w:rsid w:val="00A860F2"/>
    <w:rsid w:val="00AA7F25"/>
    <w:rsid w:val="00AB52FA"/>
    <w:rsid w:val="00AB561C"/>
    <w:rsid w:val="00AC4FC5"/>
    <w:rsid w:val="00AE5080"/>
    <w:rsid w:val="00AF7B64"/>
    <w:rsid w:val="00B15F59"/>
    <w:rsid w:val="00B44400"/>
    <w:rsid w:val="00B819F5"/>
    <w:rsid w:val="00B81C41"/>
    <w:rsid w:val="00B83371"/>
    <w:rsid w:val="00BA4577"/>
    <w:rsid w:val="00BA60C8"/>
    <w:rsid w:val="00BC1AED"/>
    <w:rsid w:val="00BE6843"/>
    <w:rsid w:val="00C0131D"/>
    <w:rsid w:val="00C0700D"/>
    <w:rsid w:val="00C14AB8"/>
    <w:rsid w:val="00C164CB"/>
    <w:rsid w:val="00C423DF"/>
    <w:rsid w:val="00C455B5"/>
    <w:rsid w:val="00C45AEB"/>
    <w:rsid w:val="00C53C9C"/>
    <w:rsid w:val="00C54C62"/>
    <w:rsid w:val="00C57B63"/>
    <w:rsid w:val="00C61DC4"/>
    <w:rsid w:val="00C6579B"/>
    <w:rsid w:val="00C6597B"/>
    <w:rsid w:val="00C722CD"/>
    <w:rsid w:val="00CA3164"/>
    <w:rsid w:val="00CA7624"/>
    <w:rsid w:val="00CB63F9"/>
    <w:rsid w:val="00D24D78"/>
    <w:rsid w:val="00D57C58"/>
    <w:rsid w:val="00DA263D"/>
    <w:rsid w:val="00DC0AB6"/>
    <w:rsid w:val="00DC5366"/>
    <w:rsid w:val="00DD44C1"/>
    <w:rsid w:val="00DF7FD2"/>
    <w:rsid w:val="00E0323B"/>
    <w:rsid w:val="00E31A6E"/>
    <w:rsid w:val="00E4018E"/>
    <w:rsid w:val="00E614A0"/>
    <w:rsid w:val="00E71C79"/>
    <w:rsid w:val="00E74983"/>
    <w:rsid w:val="00E94044"/>
    <w:rsid w:val="00E9470F"/>
    <w:rsid w:val="00F006CB"/>
    <w:rsid w:val="00F3523F"/>
    <w:rsid w:val="00F42205"/>
    <w:rsid w:val="00F50EC0"/>
    <w:rsid w:val="00F5443C"/>
    <w:rsid w:val="00F64B90"/>
    <w:rsid w:val="00FB3733"/>
    <w:rsid w:val="00FB62DC"/>
    <w:rsid w:val="00FD48B4"/>
    <w:rsid w:val="00FD795E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F448-DC0C-4475-996A-51F2775E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admin</cp:lastModifiedBy>
  <cp:revision>22</cp:revision>
  <cp:lastPrinted>2020-12-14T22:27:00Z</cp:lastPrinted>
  <dcterms:created xsi:type="dcterms:W3CDTF">2019-11-17T23:49:00Z</dcterms:created>
  <dcterms:modified xsi:type="dcterms:W3CDTF">2020-12-15T05:42:00Z</dcterms:modified>
</cp:coreProperties>
</file>