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E" w:rsidRPr="008709BF" w:rsidRDefault="001015DE" w:rsidP="008709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09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09BF" w:rsidRPr="008709BF">
        <w:rPr>
          <w:rFonts w:ascii="Times New Roman" w:hAnsi="Times New Roman" w:cs="Times New Roman"/>
          <w:sz w:val="32"/>
          <w:szCs w:val="32"/>
        </w:rPr>
        <w:t>Основные направления</w:t>
      </w:r>
      <w:r w:rsidRPr="00870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15DE" w:rsidRPr="008709BF" w:rsidRDefault="008709BF" w:rsidP="008709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15DE" w:rsidRPr="008709BF">
        <w:rPr>
          <w:rFonts w:ascii="Times New Roman" w:hAnsi="Times New Roman" w:cs="Times New Roman"/>
          <w:sz w:val="32"/>
          <w:szCs w:val="32"/>
        </w:rPr>
        <w:t xml:space="preserve">деятельности Счетной палаты Чукотского автономного округа </w:t>
      </w:r>
    </w:p>
    <w:p w:rsidR="001015DE" w:rsidRPr="008709BF" w:rsidRDefault="001015DE" w:rsidP="008709B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709B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709BF" w:rsidRPr="008709BF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709BF">
        <w:rPr>
          <w:rFonts w:ascii="Times New Roman" w:hAnsi="Times New Roman" w:cs="Times New Roman"/>
          <w:sz w:val="32"/>
          <w:szCs w:val="32"/>
        </w:rPr>
        <w:t xml:space="preserve">  на 2018-2022 годы</w:t>
      </w:r>
    </w:p>
    <w:p w:rsidR="001015DE" w:rsidRDefault="001015DE" w:rsidP="00101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15DE" w:rsidRPr="001015DE" w:rsidRDefault="001015DE" w:rsidP="001015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5DE">
        <w:rPr>
          <w:rFonts w:ascii="Times New Roman" w:hAnsi="Times New Roman" w:cs="Times New Roman"/>
          <w:b/>
          <w:sz w:val="28"/>
          <w:szCs w:val="28"/>
        </w:rPr>
        <w:t xml:space="preserve">Основы деятельности </w:t>
      </w:r>
    </w:p>
    <w:p w:rsidR="001015DE" w:rsidRPr="001015DE" w:rsidRDefault="001015DE" w:rsidP="001015D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5DE" w:rsidRDefault="001015DE" w:rsidP="00AD5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34 Устава (Основного закона) Чукотского автономного округа для осуществления контро</w:t>
      </w:r>
      <w:r w:rsidR="00AD51FB">
        <w:rPr>
          <w:rFonts w:ascii="Times New Roman" w:hAnsi="Times New Roman" w:cs="Times New Roman"/>
          <w:sz w:val="28"/>
          <w:szCs w:val="28"/>
        </w:rPr>
        <w:t>ля за исполнением б</w:t>
      </w:r>
      <w:r>
        <w:rPr>
          <w:rFonts w:ascii="Times New Roman" w:hAnsi="Times New Roman" w:cs="Times New Roman"/>
          <w:sz w:val="28"/>
          <w:szCs w:val="28"/>
        </w:rPr>
        <w:t>юджета Чукотского автономного округа Дума Чукотского автономного округа образует Счетную палату, состав и порядок деятельности которой определяются законом Чукотского автономного округа.</w:t>
      </w:r>
    </w:p>
    <w:p w:rsidR="00AD51FB" w:rsidRDefault="00AD51FB" w:rsidP="00AD5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Закон от 30 июня 1998 года № 36-ОЗ «О Счетной палате Чукотского автономного округа» определил основы деятельности Счетной палаты Чукотского автономного округа (далее - Счетная палата). С принятием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335BC">
        <w:rPr>
          <w:rFonts w:ascii="Times New Roman" w:hAnsi="Times New Roman" w:cs="Times New Roman"/>
          <w:sz w:val="28"/>
          <w:szCs w:val="28"/>
        </w:rPr>
        <w:t>полномочия Счетной палаты были расширены и в действующий региональный закон внесены соответствующие изменения и дополнения.</w:t>
      </w:r>
    </w:p>
    <w:p w:rsidR="00D335BC" w:rsidRDefault="00D335BC" w:rsidP="00AD5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Бюджетные полномочия Счетной палаты  закреплены также Бюджетным кодексом Российской Федерации. Таким образом, положения указанных нормативных правовых актов взаимно дополняют друг друга в части регулирования деятельности Счетной палаты.</w:t>
      </w:r>
    </w:p>
    <w:p w:rsidR="004B440B" w:rsidRDefault="004B440B" w:rsidP="00AD5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Деятельность Счетной палаты направлена также на создание единой системы внешнего финансового контроля за использованием средств консолидированного бюджета Чукотского автономного округа.</w:t>
      </w:r>
    </w:p>
    <w:p w:rsidR="004B440B" w:rsidRDefault="004B440B" w:rsidP="004B440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40B"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</w:p>
    <w:p w:rsidR="00C85450" w:rsidRPr="00C85450" w:rsidRDefault="000E33A5" w:rsidP="000E33A5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Задачи и функции, возложенные действующим законодательством на Счетную палату, делают ее одним из ключевых элементов системы общественного контроля за расходованием государственных ресурсов Чукотского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создания условий, обеспечивающих достойную жизнь граждан, проживающих на территории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450" w:rsidRPr="00C85450" w:rsidRDefault="00C85450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осуществляет внешний государственный финансовый контроль на основе принципов законности, эффективности, объективности, независимости, открытости и гласности.</w:t>
      </w:r>
    </w:p>
    <w:p w:rsidR="00C85450" w:rsidRPr="00C85450" w:rsidRDefault="00C85450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Счетная палата осуществляет самостоятельно с учетом запросов Губернатора и Думы Чукотского 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округа, без какого-либо внешнего вмешательства со стороны проверяемых объектов.</w:t>
      </w:r>
    </w:p>
    <w:p w:rsidR="00C85450" w:rsidRDefault="00241716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принцип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беспристрастность, соблюдение профессиональных и этичес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норм инспекторским составом. Д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собранных в ходе контрольных и экспертно-аналитических мероприятий данных и объективность их анализа обеспечивается сотрудниками Счетной палаты независимо от какого-либо внешнего влияния.</w:t>
      </w:r>
    </w:p>
    <w:p w:rsidR="00B80E8A" w:rsidRDefault="00363A3F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Счетной палате поддерживается приоритет ценности человеческого капитала, который выражается</w:t>
      </w:r>
      <w:r w:rsidR="00B83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B83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сохранении и передаче новым сотрудникам профессиональных навыков от опытных работников при проведении контрольных и экспертно-аналитических мероприятий.</w:t>
      </w:r>
    </w:p>
    <w:p w:rsidR="00C85450" w:rsidRPr="00C85450" w:rsidRDefault="00C85450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50" w:rsidRPr="00A0789C" w:rsidRDefault="00A0789C" w:rsidP="00A0789C">
      <w:pPr>
        <w:pStyle w:val="a3"/>
        <w:numPr>
          <w:ilvl w:val="0"/>
          <w:numId w:val="1"/>
        </w:numPr>
        <w:tabs>
          <w:tab w:val="left" w:pos="1394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Приоритетные </w:t>
      </w:r>
      <w:r w:rsidR="00C85450" w:rsidRPr="00A07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</w:t>
      </w:r>
    </w:p>
    <w:p w:rsidR="00C85450" w:rsidRPr="00C85450" w:rsidRDefault="00C85450" w:rsidP="00C854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450" w:rsidRPr="00C85450" w:rsidRDefault="00FF18F3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Счетной палаты - представлять Губернатору и Думе Чукотского автономног</w:t>
      </w:r>
      <w:r w:rsidR="00B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округа, обществу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независимую </w:t>
      </w:r>
      <w:r w:rsidR="00B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объективную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формировании</w:t>
      </w:r>
      <w:r w:rsidR="00B8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исполнении окружного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Чукотского автономного округа 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8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ерриториального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состоянии бюджетной системы округа, о качестве законопроектов и нормативных правовых актов Чукотского автономного округа, требующих бюджетного финансирования, о законности, эффективности и результативности деятельности органов исполнительной власти по управлению и распоряжению государственными финансами</w:t>
      </w:r>
      <w:r w:rsidR="00B6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собственностью,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ресурсами, причинах и последствиях выявленных нарушений, возможностях их устранения. </w:t>
      </w:r>
    </w:p>
    <w:p w:rsidR="0010779D" w:rsidRPr="0010779D" w:rsidRDefault="00802E8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первоочередной задачи Счетной палаты остается мониторинг исполнения указов Президента Российской Федерации от 7 мая 2012 года до полной реализа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предусмотренных мероприятий и </w:t>
      </w:r>
      <w:r w:rsidR="0087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приоритетных проектов.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79D" w:rsidRPr="00C85450" w:rsidRDefault="002A27DF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5 апреля 2013 г. N 44-ФЗ "О контрактной системе в сфере закупок товаров, работ, услуг для обеспечения государственн</w:t>
      </w:r>
      <w:r w:rsidR="00802E8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муниципальных нужд"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полномочия, в целях </w:t>
      </w:r>
      <w:proofErr w:type="gramStart"/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Счетной палатой проводится ежегодный аудит закупок товаров, работ и услуг. Эта сфера контрольной деятельности Счетной палаты затрагивает значительную часть бюджетных расходов, в ней повышены коррупционные риски, сокращение которых является одной из приоритетных задач.  Особое внимание в данном контексте должно быть уделено прозрачности процесса закупок, управлению соответствующими рисками и предотвращению мошенничества и коррупции.</w:t>
      </w:r>
    </w:p>
    <w:p w:rsidR="00C85450" w:rsidRPr="00C85450" w:rsidRDefault="002A27DF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взаимодействия с правоохранительными органами - задача, решение которой должно позволить доводить результаты деятельности Счетной пала</w:t>
      </w:r>
      <w:r w:rsidR="00A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логического завершения. Для решения этой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необходимо развивать с правоохранительными органами «обратную связь» в рамках действующих соглашений.</w:t>
      </w:r>
    </w:p>
    <w:p w:rsidR="00C85450" w:rsidRDefault="00A40C8E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развитии муниципального финансового контроля в рамках Совета контрольно-счетных органов Чукотского автономного округа</w:t>
      </w:r>
      <w:r w:rsidR="0087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является приоритетной задачей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C8E" w:rsidRPr="00C85450" w:rsidRDefault="00A40C8E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50" w:rsidRDefault="002A27DF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организационного обеспечения деятельности Счетной палаты будут решаться следующие задачи:</w:t>
      </w:r>
    </w:p>
    <w:p w:rsidR="00802E80" w:rsidRPr="00C85450" w:rsidRDefault="00802E8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85450" w:rsidRPr="00C85450" w:rsidRDefault="00C85450" w:rsidP="00C85450">
      <w:pPr>
        <w:numPr>
          <w:ilvl w:val="0"/>
          <w:numId w:val="2"/>
        </w:num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планирования контрольной деятельности Счетной палаты (обеспечение достаточности, сбалансированности, равномерности, комплексности контрольных и экспертно-аналитических мероприятий); </w:t>
      </w:r>
    </w:p>
    <w:p w:rsidR="00C85450" w:rsidRDefault="00C85450" w:rsidP="00C85450">
      <w:pPr>
        <w:numPr>
          <w:ilvl w:val="0"/>
          <w:numId w:val="2"/>
        </w:num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и повышение согласованности деятельности Счетной палаты с работой контрольных и надзорных органов Чукотского автономног</w:t>
      </w:r>
      <w:r w:rsidR="002A27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и Российской Федерации;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7DF" w:rsidRPr="00C85450" w:rsidRDefault="002A27DF" w:rsidP="00C85450">
      <w:pPr>
        <w:numPr>
          <w:ilvl w:val="0"/>
          <w:numId w:val="2"/>
        </w:numPr>
        <w:spacing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информационных технологий в деятельности Счетной палаты.</w:t>
      </w:r>
    </w:p>
    <w:p w:rsidR="00C85450" w:rsidRPr="00C85450" w:rsidRDefault="00C8545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кадрового потенциала Счетной палаты будут реализованы задачи:</w:t>
      </w:r>
    </w:p>
    <w:p w:rsidR="00C85450" w:rsidRPr="00C85450" w:rsidRDefault="00C85450" w:rsidP="00C8545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системы управления кадрами;</w:t>
      </w:r>
    </w:p>
    <w:p w:rsidR="00C85450" w:rsidRPr="00C85450" w:rsidRDefault="00C85450" w:rsidP="00C8545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мер, направленных на обеспечение соответствия уровня профессиональной компетенции работников Счетной палаты новым вызовам и задачам, повышение квалификации сотрудников;</w:t>
      </w:r>
    </w:p>
    <w:p w:rsidR="00C85450" w:rsidRPr="00C85450" w:rsidRDefault="00C85450" w:rsidP="00C8545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и параллельных мероприятий со Счетной палатой Российской Федерации, контрольно-счетными органами субъектов Российской Федерации и муниципальных образований </w:t>
      </w:r>
      <w:proofErr w:type="gramStart"/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результате</w:t>
      </w:r>
      <w:proofErr w:type="gramEnd"/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 обмен опытом и повышение профессиональных знаний и умений работников контрольно-счетных органов.</w:t>
      </w:r>
    </w:p>
    <w:p w:rsidR="00C85450" w:rsidRPr="00C85450" w:rsidRDefault="00C8545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диалога с гражданским обществом необходимо решение следующих приоритетных задач:</w:t>
      </w:r>
    </w:p>
    <w:p w:rsidR="00C85450" w:rsidRPr="00C85450" w:rsidRDefault="00C85450" w:rsidP="00C8545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</w:t>
      </w:r>
      <w:r w:rsidR="0027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рытости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450" w:rsidRPr="00C85450" w:rsidRDefault="00C85450" w:rsidP="00C8545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проверок социальной направленности, а также проверок, инициированных Счетной палатой в связи с обращениями граждан;</w:t>
      </w:r>
    </w:p>
    <w:p w:rsidR="00C85450" w:rsidRPr="00C85450" w:rsidRDefault="00C85450" w:rsidP="00C85450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сотрудничества с институтами гражданского общества. </w:t>
      </w:r>
    </w:p>
    <w:p w:rsidR="00C85450" w:rsidRPr="008709BF" w:rsidRDefault="00C85450" w:rsidP="008709B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внешнего государственного финансового контроля</w:t>
      </w:r>
    </w:p>
    <w:p w:rsidR="00C85450" w:rsidRPr="00C85450" w:rsidRDefault="00C8545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достижения цели функционирования единой системы предварительного, оперативного и последующего контроля формирования и исполнения регионального бюджета и бюджета</w:t>
      </w:r>
      <w:r w:rsidR="00A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Чукотского 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8A3B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внебюджетного фонда</w:t>
      </w:r>
      <w:r w:rsidR="00A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</w:t>
      </w:r>
      <w:r w:rsidR="001077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трахования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повышение роли бюджета как инструмента решения стратегических и тактических задач государственной социально-экономической политики и роста эффективности использования бюджетных средств потребуется, прежде всего, развитие деятельности Счетной палаты, связанной с анализом стратегических рисков в системе государственного прогнозирования и планирования использования государственных ресурсов  (стратегический аудит). </w:t>
      </w:r>
    </w:p>
    <w:p w:rsidR="007636E3" w:rsidRDefault="00C8545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формирования дефицитного бюджета повышается значимость последовательного внешнего государственного финансового контроля на всех стадиях бюджетного процесса, в связи с чем</w:t>
      </w:r>
      <w:r w:rsidR="00272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принять меры к совершенствованию системы контроля и мониторинга поступления доходов и результативности бюджетных расходов. </w:t>
      </w:r>
    </w:p>
    <w:p w:rsidR="00C85450" w:rsidRPr="00C85450" w:rsidRDefault="00C85450" w:rsidP="00C854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эффективности расходования средств регионального бюджета, в условиях дефицита проводить с учетом повышения значимости системы контроля и мониторинга результативности бюджетных расходов в социальной сфере и в экономике, что позволит контролировать исполнение органами государственной власти публичных обязательств и реализации стратегических целей. </w:t>
      </w:r>
    </w:p>
    <w:p w:rsidR="00C85450" w:rsidRPr="00C85450" w:rsidRDefault="00C85450" w:rsidP="00C85450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</w:t>
      </w:r>
      <w:r w:rsidR="007636E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реализации Основных н</w:t>
      </w:r>
      <w:bookmarkStart w:id="0" w:name="_GoBack"/>
      <w:bookmarkEnd w:id="0"/>
      <w:r w:rsidR="0076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аправлений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палате потребуется осуществление следующих мероприятий, которые повысят качество реализации полномочий Счетной палаты:</w:t>
      </w:r>
    </w:p>
    <w:p w:rsidR="00C85450" w:rsidRPr="00C85450" w:rsidRDefault="00C85450" w:rsidP="00C8545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анализ исполнения документов по вопросам стратегического планирования;</w:t>
      </w:r>
    </w:p>
    <w:p w:rsidR="00C85450" w:rsidRPr="00C85450" w:rsidRDefault="00C85450" w:rsidP="00C8545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обоснованности выделяемых бюджетных ассигнований для достижения целевых показателей, определенных государственными программами Чукотского автономного округа, во взаимосвязи со стратегическим планированием;</w:t>
      </w:r>
    </w:p>
    <w:p w:rsidR="00C85450" w:rsidRPr="00C85450" w:rsidRDefault="00C85450" w:rsidP="00C8545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непрерывного комплексного анализа и контроля формирования и реализации государственных программ, включая оценку сбалансированности их целей, задач, индикаторов, мероприятий и финансовых ресурсов, а также соответствия этих программ долгосрочным целям социально-экономического развития округа;</w:t>
      </w:r>
    </w:p>
    <w:p w:rsidR="00C85450" w:rsidRPr="00C85450" w:rsidRDefault="00C85450" w:rsidP="00C8545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работу по осуществлению мониторинга и выявлению причин </w:t>
      </w:r>
      <w:proofErr w:type="spellStart"/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недопоступления</w:t>
      </w:r>
      <w:proofErr w:type="spellEnd"/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бюджет, включая оценку качества администрирования налоговых и неналоговых доходов бюджета, а также по анализу экономической эффективности существующей системы налоговых льгот и преференций с целью их дальнейшей оптимизации;</w:t>
      </w:r>
    </w:p>
    <w:p w:rsidR="00C85450" w:rsidRPr="00C85450" w:rsidRDefault="00C85450" w:rsidP="00C854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процедур внешнего государственно</w:t>
      </w:r>
      <w:r w:rsidR="008A3B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финансового контроля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 действий органов и</w:t>
      </w:r>
      <w:r w:rsidR="0027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сполнительной </w:t>
      </w:r>
      <w:proofErr w:type="gramStart"/>
      <w:r w:rsidR="0027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и распоряжению государственным имуществом;</w:t>
      </w:r>
    </w:p>
    <w:p w:rsidR="00C85450" w:rsidRPr="00C85450" w:rsidRDefault="00C85450" w:rsidP="00C85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процедур оценки результативности расходов на осуществление бюджетных инвестиций, в том числе эффективности инвестиционных проектов;</w:t>
      </w:r>
    </w:p>
    <w:p w:rsidR="00C85450" w:rsidRPr="00C85450" w:rsidRDefault="00C85450" w:rsidP="00C85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действующих, и разработка новых стандартов для обеспечения методологической базы исполнения полномочий Счетной палаты и повышения качества внешнего государственного финансового контроля. </w:t>
      </w:r>
    </w:p>
    <w:p w:rsidR="00C85450" w:rsidRPr="00C85450" w:rsidRDefault="008709BF" w:rsidP="00EF557F">
      <w:pPr>
        <w:tabs>
          <w:tab w:val="left" w:pos="2788"/>
          <w:tab w:val="center" w:pos="5037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F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85450" w:rsidRPr="00C85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85450" w:rsidRPr="00C85450" w:rsidRDefault="007636E3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Основные направления должны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основой для формирования приоритетов деятельности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концепций работы в сферах </w:t>
      </w:r>
      <w:r w:rsidR="00C85450"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деятельности, а также для подготовки годовых планов работы.</w:t>
      </w:r>
    </w:p>
    <w:p w:rsidR="00C85450" w:rsidRDefault="00C85450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палате следует добиваться расширения и совершенствования практики рассмотрения результатов контрольных и экспертно-аналитических мероприятий в комитетах и комиссиях Думы Чукотского автономного округа с приглашением руководителей проверяе</w:t>
      </w:r>
      <w:r w:rsidR="00A07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департаментов и организаций, а также на заседаниях Правительства Чукотского автономного округа.</w:t>
      </w:r>
    </w:p>
    <w:p w:rsidR="007022AB" w:rsidRPr="00C85450" w:rsidRDefault="007022AB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выступление членов Коллегии Счетной палаты в депутатских слушаниях, на «правительственных часах» в Думе Чукотского автономного округа  должны стать одним из инструментов привлечения внимания законодателей к важнейшим проблемам и недостаткам в бюджетном процессе и иных контролируемых сферах.</w:t>
      </w:r>
    </w:p>
    <w:p w:rsidR="00C85450" w:rsidRPr="00C85450" w:rsidRDefault="00C85450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постоянное взаимодействие с Советом контрольно-счетных органов при Счетной палате Российской Федерации, с отделением Совета контрольно-счетных органов при Счетной палате РФ по Дальн</w:t>
      </w:r>
      <w:r w:rsidR="00A0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евосточному федеральному округу, контрольно-счетными органами муниципальных образований </w:t>
      </w:r>
      <w:r w:rsidR="007022A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округа.</w:t>
      </w:r>
    </w:p>
    <w:p w:rsidR="00C85450" w:rsidRPr="00C85450" w:rsidRDefault="00362F76" w:rsidP="00C85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предстоящем пятилетии Счетная палата видит свою задачу в повышении результативности своей  аудиторской работы, информационную прозрачность всех процессов своей деятельности.</w:t>
      </w:r>
    </w:p>
    <w:p w:rsidR="00AD51FB" w:rsidRPr="00C85450" w:rsidRDefault="00AD51FB" w:rsidP="00AD5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15DE" w:rsidRPr="00C85450" w:rsidRDefault="001015DE">
      <w:pPr>
        <w:rPr>
          <w:rFonts w:ascii="Times New Roman" w:hAnsi="Times New Roman" w:cs="Times New Roman"/>
          <w:sz w:val="28"/>
          <w:szCs w:val="28"/>
        </w:rPr>
      </w:pPr>
    </w:p>
    <w:sectPr w:rsidR="001015DE" w:rsidRPr="00C85450" w:rsidSect="008763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F3" w:rsidRDefault="00BE17F3" w:rsidP="008763FF">
      <w:pPr>
        <w:spacing w:after="0" w:line="240" w:lineRule="auto"/>
      </w:pPr>
      <w:r>
        <w:separator/>
      </w:r>
    </w:p>
  </w:endnote>
  <w:endnote w:type="continuationSeparator" w:id="0">
    <w:p w:rsidR="00BE17F3" w:rsidRDefault="00BE17F3" w:rsidP="0087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F3" w:rsidRDefault="00BE17F3" w:rsidP="008763FF">
      <w:pPr>
        <w:spacing w:after="0" w:line="240" w:lineRule="auto"/>
      </w:pPr>
      <w:r>
        <w:separator/>
      </w:r>
    </w:p>
  </w:footnote>
  <w:footnote w:type="continuationSeparator" w:id="0">
    <w:p w:rsidR="00BE17F3" w:rsidRDefault="00BE17F3" w:rsidP="0087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80672"/>
      <w:docPartObj>
        <w:docPartGallery w:val="Page Numbers (Top of Page)"/>
        <w:docPartUnique/>
      </w:docPartObj>
    </w:sdtPr>
    <w:sdtContent>
      <w:p w:rsidR="008763FF" w:rsidRDefault="008763F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A77">
          <w:rPr>
            <w:noProof/>
          </w:rPr>
          <w:t>5</w:t>
        </w:r>
        <w:r>
          <w:fldChar w:fldCharType="end"/>
        </w:r>
      </w:p>
    </w:sdtContent>
  </w:sdt>
  <w:p w:rsidR="008763FF" w:rsidRDefault="008763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20126"/>
    <w:multiLevelType w:val="multilevel"/>
    <w:tmpl w:val="6F16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23519"/>
    <w:multiLevelType w:val="multilevel"/>
    <w:tmpl w:val="58E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156"/>
    <w:multiLevelType w:val="hybridMultilevel"/>
    <w:tmpl w:val="EA0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084"/>
    <w:multiLevelType w:val="multilevel"/>
    <w:tmpl w:val="D48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348DB"/>
    <w:multiLevelType w:val="multilevel"/>
    <w:tmpl w:val="8EE0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DE"/>
    <w:rsid w:val="000E33A5"/>
    <w:rsid w:val="001015DE"/>
    <w:rsid w:val="0010779D"/>
    <w:rsid w:val="001F342B"/>
    <w:rsid w:val="00241716"/>
    <w:rsid w:val="00272254"/>
    <w:rsid w:val="002A27DF"/>
    <w:rsid w:val="00362F76"/>
    <w:rsid w:val="00363A3F"/>
    <w:rsid w:val="0047059E"/>
    <w:rsid w:val="004B440B"/>
    <w:rsid w:val="007022AB"/>
    <w:rsid w:val="007636E3"/>
    <w:rsid w:val="00802E80"/>
    <w:rsid w:val="008709BF"/>
    <w:rsid w:val="008763FF"/>
    <w:rsid w:val="008A3BE8"/>
    <w:rsid w:val="009C0A77"/>
    <w:rsid w:val="00A0789C"/>
    <w:rsid w:val="00A15E12"/>
    <w:rsid w:val="00A40C8E"/>
    <w:rsid w:val="00AD51FB"/>
    <w:rsid w:val="00B66488"/>
    <w:rsid w:val="00B80E8A"/>
    <w:rsid w:val="00B8351B"/>
    <w:rsid w:val="00BE17F3"/>
    <w:rsid w:val="00C85450"/>
    <w:rsid w:val="00D335BC"/>
    <w:rsid w:val="00EF557F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FB03-B96E-4192-9EBF-C2EA4726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3FF"/>
  </w:style>
  <w:style w:type="paragraph" w:styleId="a6">
    <w:name w:val="footer"/>
    <w:basedOn w:val="a"/>
    <w:link w:val="a7"/>
    <w:uiPriority w:val="99"/>
    <w:unhideWhenUsed/>
    <w:rsid w:val="00876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Троцинская</dc:creator>
  <cp:keywords/>
  <dc:description/>
  <cp:lastModifiedBy>Оксана Тодавчич</cp:lastModifiedBy>
  <cp:revision>17</cp:revision>
  <cp:lastPrinted>2017-11-23T04:24:00Z</cp:lastPrinted>
  <dcterms:created xsi:type="dcterms:W3CDTF">2017-11-22T23:16:00Z</dcterms:created>
  <dcterms:modified xsi:type="dcterms:W3CDTF">2017-11-23T04:27:00Z</dcterms:modified>
</cp:coreProperties>
</file>